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7"/>
        <w:tblW w:w="9889" w:type="dxa"/>
        <w:tblLayout w:type="fixed"/>
        <w:tblLook w:val="000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:rsidR="009F6520" w:rsidRDefault="001D3C46" w:rsidP="001D3C46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val="en-US" w:bidi="th-TH"/>
              </w:rPr>
              <w:drawing>
                <wp:inline distT="0" distB="0" distL="0" distR="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DB1B31" w:rsidTr="00876A8A">
        <w:trPr>
          <w:cantSplit/>
        </w:trPr>
        <w:tc>
          <w:tcPr>
            <w:tcW w:w="6487" w:type="dxa"/>
            <w:vMerge w:val="restart"/>
          </w:tcPr>
          <w:p w:rsidR="00DB1B31" w:rsidRDefault="00DB1B31" w:rsidP="00DB1B3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b/>
                <w:bCs/>
                <w:iCs/>
                <w:sz w:val="20"/>
                <w:lang w:val="en-US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</w:p>
          <w:p w:rsidR="00DB1B31" w:rsidRPr="00982084" w:rsidRDefault="00437029" w:rsidP="00DB1B3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WRC-19 agenda item 1.15</w:t>
            </w:r>
            <w:r>
              <w:rPr>
                <w:rFonts w:ascii="Verdana" w:hAnsi="Verdana"/>
                <w:sz w:val="20"/>
              </w:rPr>
              <w:br/>
            </w:r>
            <w:hyperlink r:id="rId12" w:history="1">
              <w:r w:rsidRPr="000562C0">
                <w:rPr>
                  <w:rStyle w:val="Hyperlink"/>
                  <w:rFonts w:ascii="Verdana" w:hAnsi="Verdana"/>
                  <w:sz w:val="20"/>
                </w:rPr>
                <w:t xml:space="preserve">Resolution </w:t>
              </w:r>
              <w:r w:rsidRPr="000562C0">
                <w:rPr>
                  <w:rStyle w:val="Hyperlink"/>
                  <w:rFonts w:ascii="Verdana" w:hAnsi="Verdana"/>
                  <w:b/>
                  <w:sz w:val="20"/>
                </w:rPr>
                <w:t>767 (WRC-15)</w:t>
              </w:r>
            </w:hyperlink>
          </w:p>
        </w:tc>
        <w:tc>
          <w:tcPr>
            <w:tcW w:w="3402" w:type="dxa"/>
          </w:tcPr>
          <w:p w:rsidR="00DB1B31" w:rsidRPr="001D3C46" w:rsidRDefault="00DB1B31" w:rsidP="00D849B7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79602D">
              <w:rPr>
                <w:rFonts w:ascii="Verdana" w:hAnsi="Verdana"/>
                <w:b/>
                <w:sz w:val="20"/>
                <w:lang w:val="en-US" w:eastAsia="zh-CN"/>
              </w:rPr>
              <w:br/>
            </w:r>
          </w:p>
        </w:tc>
      </w:tr>
      <w:tr w:rsidR="00DB1B31" w:rsidTr="00876A8A">
        <w:trPr>
          <w:cantSplit/>
        </w:trPr>
        <w:tc>
          <w:tcPr>
            <w:tcW w:w="6487" w:type="dxa"/>
            <w:vMerge/>
          </w:tcPr>
          <w:p w:rsidR="00DB1B31" w:rsidRDefault="00DB1B31" w:rsidP="00DB1B3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DB1B31" w:rsidRPr="00636CAB" w:rsidRDefault="00DB1B31" w:rsidP="00636CAB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0069D4" w:rsidRPr="001D3C46" w:rsidRDefault="001D3C46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6262A3" w:rsidRDefault="000069D4" w:rsidP="006262A3">
            <w:pPr>
              <w:rPr>
                <w:bCs/>
              </w:rPr>
            </w:pPr>
            <w:bookmarkStart w:id="5" w:name="dsource" w:colFirst="0" w:colLast="0"/>
            <w:bookmarkEnd w:id="4"/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147ADF" w:rsidP="001C72ED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 xml:space="preserve">Working document towards draft cpm text </w:t>
            </w:r>
            <w:r w:rsidR="001C72ED">
              <w:rPr>
                <w:lang w:eastAsia="zh-CN"/>
              </w:rPr>
              <w:br/>
            </w:r>
            <w:r>
              <w:rPr>
                <w:lang w:eastAsia="zh-CN"/>
              </w:rPr>
              <w:t>for wrc-19 agenda item 1.15</w:t>
            </w:r>
          </w:p>
        </w:tc>
      </w:tr>
    </w:tbl>
    <w:p w:rsidR="0030664B" w:rsidRPr="009477F6" w:rsidRDefault="0030664B" w:rsidP="0030664B">
      <w:pPr>
        <w:pStyle w:val="ChapNo"/>
      </w:pPr>
      <w:bookmarkStart w:id="7" w:name="dbreak"/>
      <w:bookmarkEnd w:id="6"/>
      <w:bookmarkEnd w:id="7"/>
      <w:r w:rsidRPr="009477F6">
        <w:t xml:space="preserve">CHAPTER </w:t>
      </w:r>
      <w:r>
        <w:t>1</w:t>
      </w:r>
    </w:p>
    <w:p w:rsidR="0030664B" w:rsidRPr="008909A0" w:rsidRDefault="0030664B" w:rsidP="0030664B">
      <w:pPr>
        <w:pStyle w:val="Chaptitle"/>
      </w:pPr>
      <w:r w:rsidRPr="003358F0">
        <w:t xml:space="preserve">Land mobile and fixed </w:t>
      </w:r>
      <w:r w:rsidRPr="008909A0">
        <w:t>issues</w:t>
      </w:r>
    </w:p>
    <w:p w:rsidR="0030664B" w:rsidRPr="009477F6" w:rsidRDefault="0030664B" w:rsidP="0030664B">
      <w:pPr>
        <w:spacing w:before="0"/>
        <w:jc w:val="center"/>
      </w:pPr>
      <w:r w:rsidRPr="009477F6">
        <w:t xml:space="preserve">(Agenda items </w:t>
      </w:r>
      <w:r>
        <w:rPr>
          <w:lang w:val="en-US"/>
        </w:rPr>
        <w:t xml:space="preserve">1.11, 1.12, 1.14, </w:t>
      </w:r>
      <w:proofErr w:type="gramStart"/>
      <w:r>
        <w:rPr>
          <w:lang w:val="en-US"/>
        </w:rPr>
        <w:t>1.15</w:t>
      </w:r>
      <w:proofErr w:type="gramEnd"/>
      <w:r w:rsidRPr="009477F6">
        <w:t>)</w:t>
      </w:r>
    </w:p>
    <w:p w:rsidR="0030664B" w:rsidRPr="00EF49C7" w:rsidRDefault="0030664B" w:rsidP="0030664B">
      <w:pPr>
        <w:pStyle w:val="Agendaitem"/>
        <w:rPr>
          <w:lang w:val="en-US"/>
        </w:rPr>
      </w:pPr>
      <w:r w:rsidRPr="00EF49C7">
        <w:rPr>
          <w:lang w:val="en-US"/>
        </w:rPr>
        <w:t xml:space="preserve">Agenda </w:t>
      </w:r>
      <w:r>
        <w:rPr>
          <w:lang w:val="en-US"/>
        </w:rPr>
        <w:t>i</w:t>
      </w:r>
      <w:r w:rsidRPr="00EF49C7">
        <w:rPr>
          <w:lang w:val="en-US"/>
        </w:rPr>
        <w:t>tem 1.1</w:t>
      </w:r>
      <w:r>
        <w:rPr>
          <w:lang w:val="en-US"/>
        </w:rPr>
        <w:t>5</w:t>
      </w:r>
    </w:p>
    <w:p w:rsidR="0030664B" w:rsidRPr="002021A5" w:rsidRDefault="0030664B" w:rsidP="0030664B">
      <w:pPr>
        <w:pStyle w:val="Title3"/>
        <w:rPr>
          <w:sz w:val="24"/>
          <w:szCs w:val="24"/>
        </w:rPr>
      </w:pPr>
      <w:r w:rsidRPr="002021A5">
        <w:rPr>
          <w:sz w:val="24"/>
          <w:szCs w:val="24"/>
        </w:rPr>
        <w:t>(</w:t>
      </w:r>
      <w:r w:rsidRPr="002021A5">
        <w:rPr>
          <w:b/>
          <w:bCs/>
          <w:sz w:val="24"/>
          <w:szCs w:val="24"/>
        </w:rPr>
        <w:t>WP 1A</w:t>
      </w:r>
      <w:r w:rsidRPr="002021A5">
        <w:rPr>
          <w:sz w:val="24"/>
          <w:szCs w:val="24"/>
        </w:rPr>
        <w:t xml:space="preserve"> / </w:t>
      </w:r>
      <w:r w:rsidRPr="002021A5">
        <w:rPr>
          <w:b/>
          <w:bCs/>
          <w:sz w:val="24"/>
          <w:szCs w:val="24"/>
        </w:rPr>
        <w:t>WP 3J</w:t>
      </w:r>
      <w:r w:rsidRPr="002021A5">
        <w:rPr>
          <w:rStyle w:val="FootnoteReference"/>
        </w:rPr>
        <w:footnoteReference w:customMarkFollows="1" w:id="1"/>
        <w:t>1</w:t>
      </w:r>
      <w:r w:rsidRPr="002021A5">
        <w:rPr>
          <w:sz w:val="24"/>
          <w:szCs w:val="24"/>
        </w:rPr>
        <w:t>,</w:t>
      </w:r>
      <w:r w:rsidRPr="002021A5">
        <w:rPr>
          <w:b/>
          <w:bCs/>
          <w:sz w:val="24"/>
          <w:szCs w:val="24"/>
        </w:rPr>
        <w:t xml:space="preserve"> WP 3K</w:t>
      </w:r>
      <w:r w:rsidRPr="002021A5">
        <w:rPr>
          <w:rStyle w:val="FootnoteReference"/>
        </w:rPr>
        <w:t>1</w:t>
      </w:r>
      <w:r w:rsidRPr="002021A5">
        <w:rPr>
          <w:sz w:val="24"/>
          <w:szCs w:val="24"/>
        </w:rPr>
        <w:t xml:space="preserve">, </w:t>
      </w:r>
      <w:r w:rsidRPr="002021A5">
        <w:rPr>
          <w:b/>
          <w:bCs/>
          <w:sz w:val="24"/>
          <w:szCs w:val="24"/>
        </w:rPr>
        <w:t>WP 3M</w:t>
      </w:r>
      <w:r w:rsidRPr="002021A5">
        <w:rPr>
          <w:rStyle w:val="FootnoteReference"/>
        </w:rPr>
        <w:t>1</w:t>
      </w:r>
      <w:r w:rsidRPr="002021A5">
        <w:rPr>
          <w:sz w:val="24"/>
          <w:szCs w:val="24"/>
        </w:rPr>
        <w:t xml:space="preserve">, </w:t>
      </w:r>
      <w:r w:rsidRPr="002021A5">
        <w:rPr>
          <w:b/>
          <w:bCs/>
          <w:sz w:val="24"/>
          <w:szCs w:val="24"/>
        </w:rPr>
        <w:t>WP 5A</w:t>
      </w:r>
      <w:r w:rsidRPr="002021A5">
        <w:rPr>
          <w:rStyle w:val="FootnoteReference"/>
        </w:rPr>
        <w:footnoteReference w:customMarkFollows="1" w:id="2"/>
        <w:t>2</w:t>
      </w:r>
      <w:r w:rsidRPr="002021A5">
        <w:rPr>
          <w:sz w:val="24"/>
          <w:szCs w:val="24"/>
        </w:rPr>
        <w:t xml:space="preserve">, </w:t>
      </w:r>
      <w:r w:rsidRPr="002021A5">
        <w:rPr>
          <w:b/>
          <w:bCs/>
          <w:sz w:val="24"/>
          <w:szCs w:val="24"/>
        </w:rPr>
        <w:t>WP 5C</w:t>
      </w:r>
      <w:r w:rsidRPr="002021A5">
        <w:rPr>
          <w:rStyle w:val="FootnoteReference"/>
        </w:rPr>
        <w:t>2</w:t>
      </w:r>
      <w:r w:rsidRPr="002021A5">
        <w:rPr>
          <w:sz w:val="24"/>
          <w:szCs w:val="24"/>
        </w:rPr>
        <w:t xml:space="preserve">, </w:t>
      </w:r>
      <w:r w:rsidRPr="002021A5">
        <w:rPr>
          <w:b/>
          <w:bCs/>
          <w:sz w:val="24"/>
          <w:szCs w:val="24"/>
        </w:rPr>
        <w:t>WP 7C</w:t>
      </w:r>
      <w:r w:rsidRPr="002021A5">
        <w:rPr>
          <w:rStyle w:val="FootnoteReference"/>
        </w:rPr>
        <w:footnoteReference w:customMarkFollows="1" w:id="3"/>
        <w:t>3</w:t>
      </w:r>
      <w:r w:rsidRPr="002021A5">
        <w:rPr>
          <w:sz w:val="24"/>
          <w:szCs w:val="24"/>
        </w:rPr>
        <w:t xml:space="preserve">, </w:t>
      </w:r>
      <w:r w:rsidRPr="002021A5">
        <w:rPr>
          <w:b/>
          <w:bCs/>
          <w:sz w:val="24"/>
          <w:szCs w:val="24"/>
        </w:rPr>
        <w:t>WP 7D</w:t>
      </w:r>
      <w:r w:rsidRPr="002021A5">
        <w:rPr>
          <w:rStyle w:val="FootnoteReference"/>
        </w:rPr>
        <w:t>3</w:t>
      </w:r>
      <w:r w:rsidRPr="002021A5">
        <w:rPr>
          <w:sz w:val="24"/>
          <w:szCs w:val="24"/>
        </w:rPr>
        <w:t xml:space="preserve">, </w:t>
      </w:r>
      <w:r w:rsidR="002021A5">
        <w:rPr>
          <w:sz w:val="24"/>
          <w:szCs w:val="24"/>
        </w:rPr>
        <w:br/>
      </w:r>
      <w:r w:rsidRPr="002021A5">
        <w:rPr>
          <w:sz w:val="24"/>
          <w:szCs w:val="24"/>
        </w:rPr>
        <w:t>(WP 4A), (WP 5D), (WP 6A))</w:t>
      </w:r>
    </w:p>
    <w:p w:rsidR="0030664B" w:rsidRDefault="0030664B" w:rsidP="0030664B">
      <w:pPr>
        <w:pStyle w:val="Normalaftertitle"/>
        <w:spacing w:before="240"/>
        <w:rPr>
          <w:b/>
          <w:i/>
          <w:iCs/>
        </w:rPr>
      </w:pPr>
      <w:r>
        <w:rPr>
          <w:i/>
          <w:iCs/>
        </w:rPr>
        <w:t>1.15</w:t>
      </w:r>
      <w:r>
        <w:rPr>
          <w:i/>
          <w:iCs/>
        </w:rPr>
        <w:tab/>
      </w:r>
      <w:r w:rsidRPr="00982293">
        <w:rPr>
          <w:i/>
          <w:iCs/>
        </w:rPr>
        <w:t xml:space="preserve">to consider identification of frequency bands for use by administrations for the land-mobile and fixed services applications operating in the frequency range 275-450 GHz, in accordance with Resolution </w:t>
      </w:r>
      <w:r w:rsidRPr="00982293">
        <w:rPr>
          <w:b/>
          <w:bCs/>
          <w:i/>
          <w:iCs/>
        </w:rPr>
        <w:t>767 (</w:t>
      </w:r>
      <w:r>
        <w:rPr>
          <w:b/>
          <w:bCs/>
          <w:i/>
          <w:iCs/>
        </w:rPr>
        <w:t>WRC-15</w:t>
      </w:r>
      <w:r w:rsidRPr="00982293">
        <w:rPr>
          <w:b/>
          <w:bCs/>
          <w:i/>
          <w:iCs/>
        </w:rPr>
        <w:t>)</w:t>
      </w:r>
      <w:r w:rsidRPr="00982293">
        <w:rPr>
          <w:i/>
          <w:iCs/>
        </w:rPr>
        <w:t>;</w:t>
      </w:r>
    </w:p>
    <w:p w:rsidR="0030664B" w:rsidRDefault="0030664B" w:rsidP="0030664B">
      <w:pPr>
        <w:rPr>
          <w:i/>
          <w:iCs/>
        </w:rPr>
      </w:pPr>
      <w:r>
        <w:t xml:space="preserve">Resolution </w:t>
      </w:r>
      <w:r>
        <w:rPr>
          <w:rFonts w:ascii="Times New Roman Bold" w:hAnsi="Times New Roman Bold" w:cs="Times New Roman Bold"/>
          <w:b/>
          <w:bCs/>
        </w:rPr>
        <w:t xml:space="preserve">767 </w:t>
      </w:r>
      <w:r>
        <w:rPr>
          <w:b/>
          <w:bCs/>
        </w:rPr>
        <w:t>(WRC</w:t>
      </w:r>
      <w:r>
        <w:rPr>
          <w:b/>
          <w:bCs/>
        </w:rPr>
        <w:noBreakHyphen/>
        <w:t>15)</w:t>
      </w:r>
      <w:r>
        <w:t xml:space="preserve"> – </w:t>
      </w:r>
      <w:r w:rsidRPr="00982293">
        <w:rPr>
          <w:rFonts w:eastAsia="SimSun"/>
          <w:i/>
          <w:iCs/>
        </w:rPr>
        <w:t>Studies towards an identification for use by administrations for land-mobile and fixed services applications operating in the frequency range 275 450 GHz</w:t>
      </w:r>
    </w:p>
    <w:p w:rsidR="00147ADF" w:rsidRPr="001B7728" w:rsidRDefault="00147ADF" w:rsidP="00147ADF">
      <w:pPr>
        <w:pStyle w:val="Heading1"/>
        <w:rPr>
          <w:lang w:val="en-US"/>
        </w:rPr>
      </w:pPr>
      <w:r w:rsidRPr="001B7728">
        <w:rPr>
          <w:lang w:val="en-US"/>
        </w:rPr>
        <w:t>1/1.15/1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Executive summary</w:t>
      </w:r>
    </w:p>
    <w:p w:rsidR="00261972" w:rsidRPr="00B265F8" w:rsidRDefault="00261972" w:rsidP="00261972">
      <w:pPr>
        <w:pStyle w:val="NormalWeb"/>
        <w:rPr>
          <w:color w:val="000000"/>
        </w:rPr>
      </w:pPr>
      <w:r>
        <w:rPr>
          <w:color w:val="000000"/>
        </w:rPr>
        <w:t xml:space="preserve">This agenda item seeks to identify spectrum for LMS and FS application in the 275-450 GHz band while ensuring the protection of the existing </w:t>
      </w:r>
      <w:proofErr w:type="gramStart"/>
      <w:r>
        <w:rPr>
          <w:color w:val="000000"/>
        </w:rPr>
        <w:t>EESS(</w:t>
      </w:r>
      <w:proofErr w:type="gramEnd"/>
      <w:r>
        <w:rPr>
          <w:color w:val="000000"/>
        </w:rPr>
        <w:t xml:space="preserve">passive) and RAS applications identified in </w:t>
      </w:r>
      <w:r>
        <w:rPr>
          <w:lang w:val="en-GB"/>
        </w:rPr>
        <w:t xml:space="preserve">RR No. </w:t>
      </w:r>
      <w:r w:rsidRPr="00B265F8">
        <w:rPr>
          <w:b/>
          <w:lang w:val="en-GB"/>
        </w:rPr>
        <w:t>5.565</w:t>
      </w:r>
      <w:r>
        <w:rPr>
          <w:lang w:val="en-GB"/>
        </w:rPr>
        <w:t xml:space="preserve">. </w:t>
      </w:r>
      <w:r w:rsidRPr="00B265F8">
        <w:rPr>
          <w:color w:val="000000"/>
        </w:rPr>
        <w:t>Working Party 1</w:t>
      </w:r>
      <w:r w:rsidRPr="00261972">
        <w:rPr>
          <w:color w:val="000000"/>
        </w:rPr>
        <w:t>A is developing a new sharing report</w:t>
      </w:r>
      <w:r>
        <w:rPr>
          <w:color w:val="000000"/>
        </w:rPr>
        <w:t xml:space="preserve"> SM</w:t>
      </w:r>
      <w:proofErr w:type="gramStart"/>
      <w:r>
        <w:rPr>
          <w:color w:val="000000"/>
        </w:rPr>
        <w:t>.[</w:t>
      </w:r>
      <w:proofErr w:type="gramEnd"/>
      <w:r>
        <w:rPr>
          <w:color w:val="000000"/>
        </w:rPr>
        <w:t xml:space="preserve">275-450GHz SHARING]. This sharing report contains the </w:t>
      </w:r>
      <w:r w:rsidR="00492A7B">
        <w:rPr>
          <w:color w:val="000000"/>
        </w:rPr>
        <w:t>results</w:t>
      </w:r>
      <w:r>
        <w:rPr>
          <w:color w:val="000000"/>
        </w:rPr>
        <w:t xml:space="preserve"> of compatibility studies between LMS and FS applications and both </w:t>
      </w:r>
      <w:proofErr w:type="gramStart"/>
      <w:r>
        <w:rPr>
          <w:color w:val="000000"/>
        </w:rPr>
        <w:t>EESS(</w:t>
      </w:r>
      <w:proofErr w:type="gramEnd"/>
      <w:r>
        <w:rPr>
          <w:color w:val="000000"/>
        </w:rPr>
        <w:t xml:space="preserve">passive) and RAS in the </w:t>
      </w:r>
      <w:r w:rsidR="00801C6F">
        <w:rPr>
          <w:color w:val="000000"/>
        </w:rPr>
        <w:t>2</w:t>
      </w:r>
      <w:r>
        <w:rPr>
          <w:color w:val="000000"/>
        </w:rPr>
        <w:t>75-450 GHz band.</w:t>
      </w:r>
    </w:p>
    <w:p w:rsidR="00261972" w:rsidRPr="00937293" w:rsidRDefault="00492A7B" w:rsidP="00261972">
      <w:r>
        <w:rPr>
          <w:color w:val="000000"/>
          <w:szCs w:val="24"/>
        </w:rPr>
        <w:lastRenderedPageBreak/>
        <w:t xml:space="preserve">Preliminary </w:t>
      </w:r>
      <w:r w:rsidR="00261972">
        <w:t>studies</w:t>
      </w:r>
      <w:r>
        <w:t xml:space="preserve"> concerning the compatibility of EESS(passive) and LMS and FS applications</w:t>
      </w:r>
      <w:r w:rsidR="00261972">
        <w:t xml:space="preserve"> concluded that</w:t>
      </w:r>
      <w:r w:rsidR="00261972" w:rsidRPr="00286DF8">
        <w:t xml:space="preserve"> the following bands currently identified for EESS (passive) in </w:t>
      </w:r>
      <w:r w:rsidR="00261972" w:rsidRPr="00286DF8">
        <w:rPr>
          <w:bCs/>
        </w:rPr>
        <w:t>RR</w:t>
      </w:r>
      <w:r w:rsidR="00261972" w:rsidRPr="00286DF8">
        <w:rPr>
          <w:b/>
        </w:rPr>
        <w:t xml:space="preserve"> </w:t>
      </w:r>
      <w:r w:rsidR="00261972" w:rsidRPr="00286DF8">
        <w:rPr>
          <w:bCs/>
        </w:rPr>
        <w:t>N</w:t>
      </w:r>
      <w:r w:rsidR="00261972" w:rsidRPr="00286DF8">
        <w:rPr>
          <w:b/>
        </w:rPr>
        <w:t xml:space="preserve">° 5.565 </w:t>
      </w:r>
      <w:r w:rsidR="00261972" w:rsidRPr="00286DF8">
        <w:t>can</w:t>
      </w:r>
      <w:r w:rsidR="00261972">
        <w:t>not be made available to the FS: [</w:t>
      </w:r>
      <w:r w:rsidR="00261972" w:rsidRPr="00166BB6">
        <w:rPr>
          <w:rStyle w:val="BookTitle"/>
          <w:b w:val="0"/>
          <w:i w:val="0"/>
        </w:rPr>
        <w:t>296</w:t>
      </w:r>
      <w:r w:rsidR="00261972" w:rsidRPr="00286DF8">
        <w:t>-306 GHz</w:t>
      </w:r>
      <w:r w:rsidR="00261972">
        <w:t xml:space="preserve">, </w:t>
      </w:r>
      <w:r w:rsidR="00261972" w:rsidRPr="00286DF8">
        <w:t>313-320 GHz</w:t>
      </w:r>
      <w:r w:rsidR="00261972">
        <w:t xml:space="preserve"> and </w:t>
      </w:r>
      <w:r w:rsidR="00261972" w:rsidRPr="00286DF8">
        <w:t>331-356 GHz</w:t>
      </w:r>
      <w:r w:rsidR="00261972">
        <w:t xml:space="preserve">]. </w:t>
      </w:r>
      <w:r w:rsidR="00261972" w:rsidRPr="00286DF8">
        <w:t>In the remaining parts of the 275-450 GHz range, FS i</w:t>
      </w:r>
      <w:r>
        <w:t>dentification can be envisaged n</w:t>
      </w:r>
      <w:r w:rsidR="00261972">
        <w:t xml:space="preserve">oting that these results do not include </w:t>
      </w:r>
      <w:r>
        <w:t xml:space="preserve">an assessment of </w:t>
      </w:r>
      <w:r w:rsidR="00261972">
        <w:t xml:space="preserve">compatibility with the radio astronomy </w:t>
      </w:r>
      <w:r>
        <w:t xml:space="preserve">service. Further studies are needed to examine the compatibility between </w:t>
      </w:r>
      <w:proofErr w:type="gramStart"/>
      <w:r>
        <w:t>EESS(</w:t>
      </w:r>
      <w:proofErr w:type="gramEnd"/>
      <w:r>
        <w:t xml:space="preserve">passive) and other LMS/FS applications. </w:t>
      </w:r>
    </w:p>
    <w:p w:rsidR="00492A7B" w:rsidRPr="00492A7B" w:rsidRDefault="00492A7B" w:rsidP="00492A7B">
      <w:pPr>
        <w:pStyle w:val="NormalWeb"/>
        <w:rPr>
          <w:color w:val="000000"/>
        </w:rPr>
      </w:pPr>
      <w:r>
        <w:rPr>
          <w:color w:val="000000"/>
        </w:rPr>
        <w:t>Compatibility studies between the RAS and LMS/FS applications concluded that a</w:t>
      </w:r>
      <w:r w:rsidRPr="00492A7B">
        <w:rPr>
          <w:color w:val="000000"/>
        </w:rPr>
        <w:t>tmospheric attenuation independent of free-space losses at 275–450 GHz is not sufficient to provide compatibility between FS and RAS operations in the absence of other considerations. Separation distances</w:t>
      </w:r>
      <w:r>
        <w:rPr>
          <w:color w:val="000000"/>
        </w:rPr>
        <w:t xml:space="preserve"> and or avoidance angles</w:t>
      </w:r>
      <w:r w:rsidRPr="00492A7B">
        <w:rPr>
          <w:color w:val="000000"/>
        </w:rPr>
        <w:t xml:space="preserve"> between RAS stations and FS stations should be considered depending on the deployment environment of FS stations</w:t>
      </w:r>
      <w:r w:rsidR="0060048C">
        <w:rPr>
          <w:color w:val="000000"/>
        </w:rPr>
        <w:t>.</w:t>
      </w:r>
    </w:p>
    <w:p w:rsidR="00261972" w:rsidRDefault="00492A7B" w:rsidP="00B265F8">
      <w:pPr>
        <w:pStyle w:val="NormalWeb"/>
        <w:rPr>
          <w:color w:val="000000"/>
        </w:rPr>
      </w:pPr>
      <w:r w:rsidRPr="00A40FA0">
        <w:rPr>
          <w:color w:val="000000"/>
        </w:rPr>
        <w:t xml:space="preserve">The </w:t>
      </w:r>
      <w:proofErr w:type="gramStart"/>
      <w:r w:rsidRPr="00A40FA0">
        <w:rPr>
          <w:color w:val="000000"/>
        </w:rPr>
        <w:t>method</w:t>
      </w:r>
      <w:proofErr w:type="gramEnd"/>
      <w:r w:rsidR="00261972" w:rsidRPr="00B265F8">
        <w:rPr>
          <w:color w:val="000000"/>
        </w:rPr>
        <w:t xml:space="preserve"> identified that may satisfy t</w:t>
      </w:r>
      <w:r w:rsidRPr="00A40FA0">
        <w:rPr>
          <w:color w:val="000000"/>
        </w:rPr>
        <w:t>he agenda item are listed below</w:t>
      </w:r>
      <w:r>
        <w:rPr>
          <w:color w:val="000000"/>
        </w:rPr>
        <w:t>:</w:t>
      </w:r>
    </w:p>
    <w:p w:rsidR="00492A7B" w:rsidRDefault="00492A7B">
      <w:r w:rsidRPr="00B265F8">
        <w:rPr>
          <w:b/>
        </w:rPr>
        <w:t>Method A</w:t>
      </w:r>
      <w:r w:rsidRPr="00B265F8">
        <w:t xml:space="preserve"> – Identify the frequency band</w:t>
      </w:r>
      <w:r>
        <w:t xml:space="preserve">s that are compatible with both </w:t>
      </w:r>
      <w:proofErr w:type="gramStart"/>
      <w:r>
        <w:t>EESS(</w:t>
      </w:r>
      <w:proofErr w:type="gramEnd"/>
      <w:r>
        <w:t xml:space="preserve">passive) and RAS with respect to </w:t>
      </w:r>
      <w:r w:rsidRPr="00B265F8">
        <w:t>the land</w:t>
      </w:r>
      <w:r w:rsidR="003B65F6">
        <w:t>-</w:t>
      </w:r>
      <w:r w:rsidRPr="00B265F8">
        <w:t>mobile and fixed service applications by a new footnote.</w:t>
      </w:r>
    </w:p>
    <w:p w:rsidR="0060048C" w:rsidRPr="00C7046C" w:rsidRDefault="0060048C" w:rsidP="0060048C">
      <w:r w:rsidRPr="00B265F8">
        <w:rPr>
          <w:b/>
        </w:rPr>
        <w:t xml:space="preserve">Other methods </w:t>
      </w:r>
      <w:r w:rsidRPr="00B265F8">
        <w:t xml:space="preserve">– </w:t>
      </w:r>
      <w:r>
        <w:t>[</w:t>
      </w:r>
      <w:r w:rsidRPr="00B265F8">
        <w:t>TBD]</w:t>
      </w:r>
    </w:p>
    <w:p w:rsidR="00147ADF" w:rsidRPr="001B7728" w:rsidRDefault="00147ADF" w:rsidP="00147ADF">
      <w:pPr>
        <w:pStyle w:val="Heading1"/>
        <w:rPr>
          <w:lang w:val="en-US" w:eastAsia="ja-JP"/>
        </w:rPr>
      </w:pPr>
      <w:r w:rsidRPr="001B7728">
        <w:rPr>
          <w:lang w:val="en-US"/>
        </w:rPr>
        <w:t>1/1.15/2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Background</w:t>
      </w:r>
    </w:p>
    <w:p w:rsidR="006675B9" w:rsidRPr="001B7728" w:rsidRDefault="006675B9" w:rsidP="006675B9">
      <w:pPr>
        <w:rPr>
          <w:iCs/>
          <w:lang w:val="en-US"/>
        </w:rPr>
      </w:pPr>
      <w:r w:rsidRPr="001B7728">
        <w:rPr>
          <w:iCs/>
          <w:lang w:val="en-US"/>
        </w:rPr>
        <w:t xml:space="preserve">RR </w:t>
      </w:r>
      <w:r w:rsidR="008D6220" w:rsidRPr="00286DF8">
        <w:rPr>
          <w:bCs/>
        </w:rPr>
        <w:t>N</w:t>
      </w:r>
      <w:r w:rsidR="008D6220" w:rsidRPr="00286DF8">
        <w:rPr>
          <w:b/>
        </w:rPr>
        <w:t xml:space="preserve">° </w:t>
      </w:r>
      <w:r w:rsidRPr="001B7728">
        <w:rPr>
          <w:b/>
          <w:iCs/>
          <w:lang w:val="en-US"/>
        </w:rPr>
        <w:t>5.565</w:t>
      </w:r>
      <w:r w:rsidRPr="001B7728">
        <w:rPr>
          <w:iCs/>
          <w:lang w:val="en-US"/>
        </w:rPr>
        <w:t xml:space="preserve"> was rev</w:t>
      </w:r>
      <w:r w:rsidRPr="001B7728">
        <w:rPr>
          <w:iCs/>
          <w:lang w:val="en-US" w:eastAsia="ja-JP"/>
        </w:rPr>
        <w:t>is</w:t>
      </w:r>
      <w:r w:rsidRPr="001B7728">
        <w:rPr>
          <w:iCs/>
          <w:lang w:val="en-US"/>
        </w:rPr>
        <w:t xml:space="preserve">ed in accordance with Resolution </w:t>
      </w:r>
      <w:r w:rsidRPr="001B7728">
        <w:rPr>
          <w:b/>
          <w:iCs/>
          <w:lang w:val="en-US"/>
        </w:rPr>
        <w:t>950 (Rev.WRC-07)</w:t>
      </w:r>
      <w:r w:rsidRPr="001B7728">
        <w:rPr>
          <w:iCs/>
          <w:lang w:val="en-US"/>
        </w:rPr>
        <w:t xml:space="preserve">, and the specific frequency bands were identified for measurements by passive services, such as the radio astronomy service, the earth exploration satellite service (passive), and the space research service (passive). </w:t>
      </w:r>
      <w:r>
        <w:rPr>
          <w:iCs/>
          <w:lang w:val="en-US"/>
        </w:rPr>
        <w:t>The bands</w:t>
      </w:r>
      <w:r w:rsidRPr="000F036F">
        <w:rPr>
          <w:iCs/>
          <w:lang w:val="en-US"/>
        </w:rPr>
        <w:t xml:space="preserve"> of interest to EESS/SRS</w:t>
      </w:r>
      <w:r>
        <w:rPr>
          <w:iCs/>
          <w:lang w:val="en-US"/>
        </w:rPr>
        <w:t xml:space="preserve"> </w:t>
      </w:r>
      <w:r w:rsidR="008732FD">
        <w:rPr>
          <w:iCs/>
          <w:lang w:val="en-US"/>
        </w:rPr>
        <w:t xml:space="preserve">(passive) </w:t>
      </w:r>
      <w:r w:rsidRPr="000F036F">
        <w:rPr>
          <w:iCs/>
          <w:lang w:val="en-US"/>
        </w:rPr>
        <w:t>from 275 to 3 000 GHz</w:t>
      </w:r>
      <w:r>
        <w:rPr>
          <w:iCs/>
          <w:lang w:val="en-US"/>
        </w:rPr>
        <w:t xml:space="preserve"> have been addressed in Report ITU-R </w:t>
      </w:r>
      <w:r w:rsidRPr="00040D6E">
        <w:rPr>
          <w:iCs/>
          <w:lang w:val="en-US"/>
        </w:rPr>
        <w:t>RS.2194</w:t>
      </w:r>
      <w:r>
        <w:rPr>
          <w:iCs/>
          <w:lang w:val="en-US"/>
        </w:rPr>
        <w:t xml:space="preserve"> and the s</w:t>
      </w:r>
      <w:r w:rsidRPr="000F036F">
        <w:rPr>
          <w:iCs/>
          <w:lang w:val="en-US"/>
        </w:rPr>
        <w:t xml:space="preserve">haring </w:t>
      </w:r>
      <w:r>
        <w:rPr>
          <w:iCs/>
          <w:lang w:val="en-US"/>
        </w:rPr>
        <w:t xml:space="preserve">studies </w:t>
      </w:r>
      <w:r w:rsidRPr="000F036F">
        <w:rPr>
          <w:iCs/>
          <w:lang w:val="en-US"/>
        </w:rPr>
        <w:t>between the radio astronomy</w:t>
      </w:r>
      <w:r>
        <w:rPr>
          <w:iCs/>
          <w:lang w:val="en-US"/>
        </w:rPr>
        <w:t xml:space="preserve"> </w:t>
      </w:r>
      <w:r w:rsidRPr="000F036F">
        <w:rPr>
          <w:iCs/>
          <w:lang w:val="en-US"/>
        </w:rPr>
        <w:t>service and active services in the frequency</w:t>
      </w:r>
      <w:r>
        <w:rPr>
          <w:iCs/>
          <w:lang w:val="en-US"/>
        </w:rPr>
        <w:t xml:space="preserve"> </w:t>
      </w:r>
      <w:r w:rsidRPr="000F036F">
        <w:rPr>
          <w:iCs/>
          <w:lang w:val="en-US"/>
        </w:rPr>
        <w:t>range 275-3 000 GHz</w:t>
      </w:r>
      <w:r>
        <w:rPr>
          <w:iCs/>
          <w:lang w:val="en-US"/>
        </w:rPr>
        <w:t xml:space="preserve"> have been conducted in Report </w:t>
      </w:r>
      <w:r w:rsidRPr="00040D6E">
        <w:rPr>
          <w:iCs/>
          <w:lang w:val="en-US"/>
        </w:rPr>
        <w:t>ITU-R RA.2189.</w:t>
      </w:r>
      <w:r w:rsidRPr="000F036F">
        <w:rPr>
          <w:iCs/>
          <w:lang w:val="en-US"/>
        </w:rPr>
        <w:t xml:space="preserve"> </w:t>
      </w:r>
      <w:r w:rsidRPr="001B7728">
        <w:rPr>
          <w:iCs/>
          <w:lang w:val="en-US"/>
        </w:rPr>
        <w:t>In the specific identification of the frequencies in the range of 275-1 000 GHz, the passive services do not preclude use of this range by active services.</w:t>
      </w:r>
    </w:p>
    <w:p w:rsidR="00A40FA0" w:rsidRPr="001B7728" w:rsidRDefault="00A40FA0" w:rsidP="00A40FA0">
      <w:pPr>
        <w:rPr>
          <w:lang w:val="en-US"/>
        </w:rPr>
      </w:pPr>
      <w:r w:rsidRPr="001B7728">
        <w:rPr>
          <w:lang w:val="en-US"/>
        </w:rPr>
        <w:t>The active devices which can operate above 275 GHz were researched and developed by many R &amp; D organizations and the applications of high-data-rate wireless communication systems above 100 </w:t>
      </w:r>
      <w:proofErr w:type="spellStart"/>
      <w:r w:rsidRPr="001B7728">
        <w:rPr>
          <w:lang w:val="en-US"/>
        </w:rPr>
        <w:t>Gb</w:t>
      </w:r>
      <w:r>
        <w:rPr>
          <w:lang w:val="en-US"/>
        </w:rPr>
        <w:t>it</w:t>
      </w:r>
      <w:proofErr w:type="spellEnd"/>
      <w:r w:rsidRPr="001B7728">
        <w:rPr>
          <w:lang w:val="en-US"/>
        </w:rPr>
        <w:t>/s have been discussed within international standard</w:t>
      </w:r>
      <w:r>
        <w:rPr>
          <w:lang w:val="en-US"/>
        </w:rPr>
        <w:t>ization organizations</w:t>
      </w:r>
      <w:r w:rsidRPr="001B7728">
        <w:rPr>
          <w:lang w:val="en-US"/>
        </w:rPr>
        <w:t>. Several use cases such as wireless links for data centers, close proximity wireless connections</w:t>
      </w:r>
      <w:r>
        <w:rPr>
          <w:lang w:val="en-US"/>
        </w:rPr>
        <w:t>, intra-device communications</w:t>
      </w:r>
      <w:r w:rsidRPr="001B7728">
        <w:rPr>
          <w:lang w:val="en-US"/>
        </w:rPr>
        <w:t xml:space="preserve"> and </w:t>
      </w:r>
      <w:proofErr w:type="spellStart"/>
      <w:r w:rsidRPr="001B7728">
        <w:rPr>
          <w:lang w:val="en-US"/>
        </w:rPr>
        <w:t>fronthaul</w:t>
      </w:r>
      <w:proofErr w:type="spellEnd"/>
      <w:r w:rsidRPr="001B7728">
        <w:rPr>
          <w:lang w:val="en-US"/>
        </w:rPr>
        <w:t>/backhaul</w:t>
      </w:r>
      <w:r>
        <w:rPr>
          <w:lang w:val="en-US"/>
        </w:rPr>
        <w:t xml:space="preserve"> links</w:t>
      </w:r>
      <w:r w:rsidRPr="001B7728">
        <w:rPr>
          <w:lang w:val="en-US"/>
        </w:rPr>
        <w:t xml:space="preserve"> </w:t>
      </w:r>
      <w:r>
        <w:rPr>
          <w:lang w:val="en-US"/>
        </w:rPr>
        <w:t xml:space="preserve">which </w:t>
      </w:r>
      <w:r w:rsidRPr="001B7728">
        <w:rPr>
          <w:lang w:val="en-US"/>
        </w:rPr>
        <w:t xml:space="preserve">are expected to be operated in the band above </w:t>
      </w:r>
      <w:r>
        <w:rPr>
          <w:lang w:val="en-US"/>
        </w:rPr>
        <w:br/>
      </w:r>
      <w:r w:rsidRPr="001B7728">
        <w:rPr>
          <w:lang w:val="en-US"/>
        </w:rPr>
        <w:t>275 GHz</w:t>
      </w:r>
      <w:r>
        <w:rPr>
          <w:lang w:val="en-US"/>
        </w:rPr>
        <w:t xml:space="preserve"> are summarized in Report ITU-R </w:t>
      </w:r>
      <w:r w:rsidRPr="00CC2D50">
        <w:rPr>
          <w:lang w:val="en-US"/>
        </w:rPr>
        <w:t>SM.2352</w:t>
      </w:r>
      <w:r w:rsidRPr="001B7728">
        <w:rPr>
          <w:lang w:val="en-US"/>
        </w:rPr>
        <w:t xml:space="preserve">. </w:t>
      </w:r>
      <w:r>
        <w:rPr>
          <w:lang w:val="en-US"/>
        </w:rPr>
        <w:t>The studies on the land mobile and fixed service applications have been studied by the relevant Working Parties based on Question ITU</w:t>
      </w:r>
      <w:r w:rsidRPr="009612D9">
        <w:rPr>
          <w:lang w:val="en-US"/>
        </w:rPr>
        <w:t>-R 256/5 and 257/5</w:t>
      </w:r>
      <w:r>
        <w:rPr>
          <w:lang w:val="en-US"/>
        </w:rPr>
        <w:t>, respectively. The reports ITU-R F</w:t>
      </w:r>
      <w:proofErr w:type="gramStart"/>
      <w:r>
        <w:rPr>
          <w:lang w:val="en-US"/>
        </w:rPr>
        <w:t>.[</w:t>
      </w:r>
      <w:proofErr w:type="gramEnd"/>
      <w:r w:rsidRPr="00CF062A">
        <w:rPr>
          <w:lang w:val="en-US" w:eastAsia="zh-CN"/>
        </w:rPr>
        <w:t>300GHz_FS_CHAR</w:t>
      </w:r>
      <w:r>
        <w:rPr>
          <w:lang w:val="en-US"/>
        </w:rPr>
        <w:t>] and ITU-R M.[</w:t>
      </w:r>
      <w:r>
        <w:rPr>
          <w:lang w:val="en-US" w:eastAsia="zh-CN"/>
        </w:rPr>
        <w:t>300GHz_M</w:t>
      </w:r>
      <w:r w:rsidRPr="00CF062A">
        <w:rPr>
          <w:lang w:val="en-US" w:eastAsia="zh-CN"/>
        </w:rPr>
        <w:t>S_CHAR</w:t>
      </w:r>
      <w:r>
        <w:rPr>
          <w:lang w:val="en-US"/>
        </w:rPr>
        <w:t xml:space="preserve">] summarize the technical and operational parameters as well as the spectrum needs for each of the applications. </w:t>
      </w:r>
    </w:p>
    <w:p w:rsidR="00147ADF" w:rsidRPr="001B7728" w:rsidRDefault="00147ADF" w:rsidP="00053E68">
      <w:pPr>
        <w:rPr>
          <w:lang w:val="en-US" w:eastAsia="ja-JP"/>
        </w:rPr>
      </w:pPr>
      <w:r w:rsidRPr="001B7728">
        <w:rPr>
          <w:lang w:val="en-US" w:eastAsia="ja-JP"/>
        </w:rPr>
        <w:t>.</w:t>
      </w:r>
    </w:p>
    <w:p w:rsidR="00147ADF" w:rsidRPr="001B7728" w:rsidRDefault="00147ADF" w:rsidP="00147ADF">
      <w:pPr>
        <w:pStyle w:val="Heading1"/>
        <w:rPr>
          <w:lang w:val="en-US"/>
        </w:rPr>
      </w:pPr>
      <w:r w:rsidRPr="001B7728">
        <w:rPr>
          <w:lang w:val="en-US"/>
        </w:rPr>
        <w:t>1/1.15/3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Summary and Analysis of the results of ITU-R studies</w:t>
      </w:r>
    </w:p>
    <w:p w:rsidR="00147ADF" w:rsidRPr="001B7728" w:rsidRDefault="00147ADF" w:rsidP="00147ADF">
      <w:pPr>
        <w:spacing w:after="240"/>
        <w:rPr>
          <w:i/>
          <w:iCs/>
          <w:lang w:val="en-US"/>
        </w:rPr>
      </w:pPr>
      <w:r w:rsidRPr="001B7728">
        <w:rPr>
          <w:i/>
          <w:iCs/>
          <w:lang w:val="en-US"/>
        </w:rPr>
        <w:t>[This section should contain a summary of the technical and operational studies performed within ITU-R, including a list of relevant ITU-R Recommendations. Depending on the agenda item, this section could be divided in two parts, one part dealing with the summary of technical and operational studies</w:t>
      </w:r>
      <w:r w:rsidRPr="001B7728">
        <w:rPr>
          <w:lang w:val="en-US"/>
        </w:rPr>
        <w:t xml:space="preserve"> </w:t>
      </w:r>
      <w:r w:rsidRPr="001B7728">
        <w:rPr>
          <w:i/>
          <w:iCs/>
          <w:lang w:val="en-US"/>
        </w:rPr>
        <w:t>and the other part dealing with the analysis of the results of studies.</w:t>
      </w:r>
      <w:r w:rsidRPr="001B7728">
        <w:rPr>
          <w:i/>
          <w:iCs/>
          <w:lang w:val="en-US"/>
        </w:rPr>
        <w:br/>
        <w:t xml:space="preserve">The results of the ITU-R studies should also be </w:t>
      </w:r>
      <w:proofErr w:type="spellStart"/>
      <w:r w:rsidRPr="001B7728">
        <w:rPr>
          <w:i/>
          <w:iCs/>
          <w:lang w:val="en-US"/>
        </w:rPr>
        <w:t>analysed</w:t>
      </w:r>
      <w:proofErr w:type="spellEnd"/>
      <w:r w:rsidRPr="001B7728">
        <w:rPr>
          <w:i/>
          <w:iCs/>
          <w:lang w:val="en-US"/>
        </w:rPr>
        <w:t xml:space="preserve"> with respect to the possible methods of satisfying the agenda item, and presented in a concise manner.]</w:t>
      </w:r>
    </w:p>
    <w:p w:rsidR="00147ADF" w:rsidRPr="001B7728" w:rsidRDefault="00147ADF" w:rsidP="00053E68">
      <w:pPr>
        <w:pStyle w:val="Heading2"/>
        <w:rPr>
          <w:lang w:val="en-US"/>
        </w:rPr>
      </w:pPr>
      <w:r w:rsidRPr="001B7728">
        <w:rPr>
          <w:lang w:val="en-US"/>
        </w:rPr>
        <w:lastRenderedPageBreak/>
        <w:t>1/1.15/3.1</w:t>
      </w:r>
      <w:r w:rsidRPr="001B7728">
        <w:rPr>
          <w:lang w:val="en-US"/>
        </w:rPr>
        <w:tab/>
      </w:r>
      <w:r w:rsidRPr="001B7728">
        <w:rPr>
          <w:lang w:val="en-US"/>
        </w:rPr>
        <w:tab/>
      </w:r>
      <w:r>
        <w:rPr>
          <w:lang w:val="en-US"/>
        </w:rPr>
        <w:t>Technical and operational characteristics and spectrum needs</w:t>
      </w:r>
    </w:p>
    <w:p w:rsidR="00147ADF" w:rsidRDefault="00147ADF" w:rsidP="00053E68">
      <w:pPr>
        <w:pStyle w:val="Heading3"/>
        <w:rPr>
          <w:lang w:val="en-US"/>
        </w:rPr>
      </w:pPr>
      <w:r w:rsidRPr="001B7728">
        <w:rPr>
          <w:lang w:val="en-US"/>
        </w:rPr>
        <w:t>1/1.15/3.1.1</w:t>
      </w:r>
      <w:r w:rsidRPr="001B7728">
        <w:rPr>
          <w:lang w:val="en-US"/>
        </w:rPr>
        <w:tab/>
        <w:t>Land mobile service applications</w:t>
      </w:r>
    </w:p>
    <w:p w:rsidR="00147ADF" w:rsidRPr="009A6BD1" w:rsidRDefault="00147ADF" w:rsidP="00147ADF">
      <w:pPr>
        <w:rPr>
          <w:lang w:val="en-US"/>
        </w:rPr>
      </w:pPr>
      <w:r>
        <w:rPr>
          <w:rFonts w:hint="eastAsia"/>
          <w:lang w:val="en-US" w:eastAsia="ja-JP"/>
        </w:rPr>
        <w:t>Report ITU-R M</w:t>
      </w:r>
      <w:proofErr w:type="gramStart"/>
      <w:r>
        <w:rPr>
          <w:rFonts w:hint="eastAsia"/>
          <w:lang w:val="en-US" w:eastAsia="ja-JP"/>
        </w:rPr>
        <w:t>.[</w:t>
      </w:r>
      <w:proofErr w:type="gramEnd"/>
      <w:r>
        <w:rPr>
          <w:rFonts w:hint="eastAsia"/>
          <w:lang w:val="en-US" w:eastAsia="ja-JP"/>
        </w:rPr>
        <w:t xml:space="preserve">300GHZ_MS_CHAR] </w:t>
      </w:r>
      <w:r w:rsidR="00B023A2">
        <w:rPr>
          <w:lang w:val="en-US" w:eastAsia="ja-JP"/>
        </w:rPr>
        <w:t xml:space="preserve">provides </w:t>
      </w:r>
      <w:r>
        <w:rPr>
          <w:lang w:val="en-US" w:eastAsia="ja-JP"/>
        </w:rPr>
        <w:t xml:space="preserve">the technical and operational characteristics and spectrum needs of </w:t>
      </w:r>
      <w:r w:rsidR="00B023A2">
        <w:rPr>
          <w:lang w:val="en-US" w:eastAsia="ja-JP"/>
        </w:rPr>
        <w:t xml:space="preserve"> land-mobile service applications operating in the frequency band 275-450 GHz </w:t>
      </w:r>
      <w:r>
        <w:rPr>
          <w:lang w:val="en-US" w:eastAsia="ja-JP"/>
        </w:rPr>
        <w:t>.</w:t>
      </w:r>
    </w:p>
    <w:p w:rsidR="00147ADF" w:rsidRDefault="00147ADF" w:rsidP="00053E68">
      <w:pPr>
        <w:pStyle w:val="Heading3"/>
        <w:rPr>
          <w:lang w:val="en-US"/>
        </w:rPr>
      </w:pPr>
      <w:r w:rsidRPr="001B7728">
        <w:rPr>
          <w:lang w:val="en-US"/>
        </w:rPr>
        <w:t>1/1.15/3.1.2</w:t>
      </w:r>
      <w:r w:rsidRPr="001B7728">
        <w:rPr>
          <w:lang w:val="en-US"/>
        </w:rPr>
        <w:tab/>
        <w:t>Fixed service applications</w:t>
      </w:r>
    </w:p>
    <w:p w:rsidR="00B023A2" w:rsidRDefault="00147ADF" w:rsidP="00147ADF">
      <w:pPr>
        <w:rPr>
          <w:lang w:val="en-US" w:eastAsia="ja-JP"/>
        </w:rPr>
      </w:pPr>
      <w:r>
        <w:rPr>
          <w:rFonts w:hint="eastAsia"/>
          <w:lang w:val="en-US" w:eastAsia="ja-JP"/>
        </w:rPr>
        <w:t xml:space="preserve">Report ITU-R </w:t>
      </w:r>
      <w:r>
        <w:rPr>
          <w:lang w:val="en-US" w:eastAsia="ja-JP"/>
        </w:rPr>
        <w:t>F</w:t>
      </w:r>
      <w:proofErr w:type="gramStart"/>
      <w:r>
        <w:rPr>
          <w:rFonts w:hint="eastAsia"/>
          <w:lang w:val="en-US" w:eastAsia="ja-JP"/>
        </w:rPr>
        <w:t>.[</w:t>
      </w:r>
      <w:proofErr w:type="gramEnd"/>
      <w:r>
        <w:rPr>
          <w:rFonts w:hint="eastAsia"/>
          <w:lang w:val="en-US" w:eastAsia="ja-JP"/>
        </w:rPr>
        <w:t xml:space="preserve">300GHZ_FS_CHAR] </w:t>
      </w:r>
      <w:r w:rsidR="00B023A2">
        <w:rPr>
          <w:lang w:val="en-US" w:eastAsia="ja-JP"/>
        </w:rPr>
        <w:t xml:space="preserve">provides the technical and operational characteristics and spectrum needs of </w:t>
      </w:r>
      <w:r>
        <w:rPr>
          <w:lang w:val="en-US" w:eastAsia="ja-JP"/>
        </w:rPr>
        <w:t>fixed service application</w:t>
      </w:r>
      <w:r w:rsidR="00B023A2">
        <w:rPr>
          <w:lang w:val="en-US" w:eastAsia="ja-JP"/>
        </w:rPr>
        <w:t>s</w:t>
      </w:r>
      <w:r>
        <w:rPr>
          <w:lang w:val="en-US" w:eastAsia="ja-JP"/>
        </w:rPr>
        <w:t xml:space="preserve"> operating in the frequency band 275-450 GHz</w:t>
      </w:r>
      <w:r w:rsidR="00B023A2">
        <w:rPr>
          <w:lang w:val="en-US" w:eastAsia="ja-JP"/>
        </w:rPr>
        <w:t>.</w:t>
      </w:r>
    </w:p>
    <w:p w:rsidR="00B023A2" w:rsidRDefault="00B023A2" w:rsidP="00B023A2">
      <w:pPr>
        <w:pStyle w:val="Heading3"/>
        <w:rPr>
          <w:lang w:val="en-US"/>
        </w:rPr>
      </w:pPr>
      <w:r w:rsidRPr="001B7728">
        <w:rPr>
          <w:lang w:val="en-US"/>
        </w:rPr>
        <w:t>1/1.15/3.1.</w:t>
      </w:r>
      <w:r>
        <w:rPr>
          <w:lang w:val="en-US"/>
        </w:rPr>
        <w:t>3</w:t>
      </w:r>
      <w:r w:rsidRPr="001B7728">
        <w:rPr>
          <w:lang w:val="en-US"/>
        </w:rPr>
        <w:tab/>
      </w:r>
      <w:r>
        <w:rPr>
          <w:lang w:val="en-US"/>
        </w:rPr>
        <w:t>Passive service applications</w:t>
      </w:r>
    </w:p>
    <w:p w:rsidR="00147ADF" w:rsidRPr="009A6BD1" w:rsidRDefault="00B023A2" w:rsidP="00147ADF">
      <w:pPr>
        <w:rPr>
          <w:lang w:val="en-US"/>
        </w:rPr>
      </w:pPr>
      <w:r>
        <w:t>[TBD]</w:t>
      </w:r>
    </w:p>
    <w:p w:rsidR="00147ADF" w:rsidRPr="001B7728" w:rsidRDefault="00147ADF" w:rsidP="00147ADF">
      <w:pPr>
        <w:pStyle w:val="Heading2"/>
        <w:rPr>
          <w:lang w:val="en-US"/>
        </w:rPr>
      </w:pPr>
      <w:r w:rsidRPr="001B7728">
        <w:rPr>
          <w:lang w:val="en-US"/>
        </w:rPr>
        <w:t>1/1/15/3.2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Sharing and compatibility studies</w:t>
      </w:r>
      <w:r w:rsidR="00B023A2">
        <w:rPr>
          <w:lang w:val="en-US"/>
        </w:rPr>
        <w:t xml:space="preserve"> in the frequency range </w:t>
      </w:r>
      <w:r w:rsidR="00F8128E">
        <w:rPr>
          <w:lang w:val="en-US"/>
        </w:rPr>
        <w:t>275 to 450 GHz</w:t>
      </w:r>
    </w:p>
    <w:p w:rsidR="00147ADF" w:rsidRPr="005D00EA" w:rsidRDefault="00F8128E" w:rsidP="00147ADF">
      <w:pPr>
        <w:rPr>
          <w:lang w:val="en-US" w:eastAsia="ja-JP"/>
        </w:rPr>
      </w:pPr>
      <w:r w:rsidRPr="001B7728" w:rsidDel="00F8128E">
        <w:rPr>
          <w:lang w:val="en-US" w:eastAsia="ja-JP"/>
        </w:rPr>
        <w:t xml:space="preserve"> </w:t>
      </w:r>
      <w:r w:rsidR="00147ADF" w:rsidRPr="00E217D4">
        <w:rPr>
          <w:highlight w:val="cyan"/>
          <w:lang w:val="en-US" w:eastAsia="ja-JP"/>
        </w:rPr>
        <w:t>[</w:t>
      </w:r>
      <w:r w:rsidR="00147ADF" w:rsidRPr="00E217D4">
        <w:rPr>
          <w:i/>
          <w:highlight w:val="cyan"/>
          <w:lang w:val="en-US" w:eastAsia="ja-JP"/>
        </w:rPr>
        <w:t>Editor’s note: In 1/1.15/3.2.2 the Frequency range 275 to 450 GHz is added because the characteristics of the LMS include the range 275-450 GHz and those of the FS include 275-325 GHz and 380-445 GHz These two sections can be merged, stay separated or be divided in different sub-bands so that the final structure reflects the results of the sharing studies in the end.</w:t>
      </w:r>
      <w:r w:rsidR="00147ADF" w:rsidRPr="00E217D4">
        <w:rPr>
          <w:highlight w:val="cyan"/>
          <w:lang w:val="en-US" w:eastAsia="ja-JP"/>
        </w:rPr>
        <w:t>]</w:t>
      </w:r>
    </w:p>
    <w:p w:rsidR="00147ADF" w:rsidRDefault="00147ADF" w:rsidP="00147ADF">
      <w:pPr>
        <w:rPr>
          <w:lang w:val="en-US" w:eastAsia="ja-JP"/>
        </w:rPr>
      </w:pPr>
      <w:r>
        <w:rPr>
          <w:lang w:val="en-US" w:eastAsia="ja-JP"/>
        </w:rPr>
        <w:t>The frequency band 275-323 GHz is identified for radio astronomy service application, and the frequency bands</w:t>
      </w:r>
      <w:r w:rsidRPr="00674FA3">
        <w:rPr>
          <w:lang w:val="en-US" w:eastAsia="ja-JP"/>
        </w:rPr>
        <w:t xml:space="preserve"> 275-286 GHz,</w:t>
      </w:r>
      <w:r>
        <w:rPr>
          <w:lang w:val="en-US" w:eastAsia="ja-JP"/>
        </w:rPr>
        <w:t xml:space="preserve"> 296-306 GHz and 313-356 GHz for </w:t>
      </w:r>
      <w:r w:rsidRPr="00674FA3">
        <w:rPr>
          <w:lang w:val="en-US" w:eastAsia="ja-JP"/>
        </w:rPr>
        <w:t>Earth exploration-satellite service (passive) and space research service (passive)</w:t>
      </w:r>
      <w:r>
        <w:rPr>
          <w:lang w:val="en-US" w:eastAsia="ja-JP"/>
        </w:rPr>
        <w:t xml:space="preserve"> applications. In the frequency range below 275 GHz, the band 265-275 GHz is allocated to FS, </w:t>
      </w:r>
      <w:r w:rsidRPr="00674FA3">
        <w:rPr>
          <w:lang w:val="en-US" w:eastAsia="ja-JP"/>
        </w:rPr>
        <w:t>F</w:t>
      </w:r>
      <w:r>
        <w:rPr>
          <w:lang w:val="en-US" w:eastAsia="ja-JP"/>
        </w:rPr>
        <w:t>SS</w:t>
      </w:r>
      <w:r w:rsidRPr="00674FA3">
        <w:rPr>
          <w:lang w:val="en-US" w:eastAsia="ja-JP"/>
        </w:rPr>
        <w:t xml:space="preserve"> (Earth-to-space)</w:t>
      </w:r>
      <w:r>
        <w:rPr>
          <w:lang w:val="en-US" w:eastAsia="ja-JP"/>
        </w:rPr>
        <w:t xml:space="preserve">, </w:t>
      </w:r>
      <w:r w:rsidRPr="00674FA3">
        <w:rPr>
          <w:lang w:val="en-US" w:eastAsia="ja-JP"/>
        </w:rPr>
        <w:t>M</w:t>
      </w:r>
      <w:r>
        <w:rPr>
          <w:lang w:val="en-US" w:eastAsia="ja-JP"/>
        </w:rPr>
        <w:t xml:space="preserve">S and </w:t>
      </w:r>
      <w:r w:rsidRPr="00674FA3">
        <w:rPr>
          <w:lang w:val="en-US" w:eastAsia="ja-JP"/>
        </w:rPr>
        <w:t>R</w:t>
      </w:r>
      <w:r>
        <w:rPr>
          <w:lang w:val="en-US" w:eastAsia="ja-JP"/>
        </w:rPr>
        <w:t>AS, where</w:t>
      </w:r>
      <w:r w:rsidR="00C17124">
        <w:rPr>
          <w:lang w:val="en-US" w:eastAsia="ja-JP"/>
        </w:rPr>
        <w:t xml:space="preserve"> </w:t>
      </w:r>
      <w:r>
        <w:rPr>
          <w:lang w:val="en-US" w:eastAsia="ja-JP"/>
        </w:rPr>
        <w:br/>
        <w:t xml:space="preserve">No. </w:t>
      </w:r>
      <w:r w:rsidRPr="00674FA3">
        <w:rPr>
          <w:b/>
          <w:lang w:val="en-US" w:eastAsia="ja-JP"/>
        </w:rPr>
        <w:t>5.149</w:t>
      </w:r>
      <w:r>
        <w:rPr>
          <w:lang w:val="en-US" w:eastAsia="ja-JP"/>
        </w:rPr>
        <w:t xml:space="preserve"> applies.</w:t>
      </w:r>
    </w:p>
    <w:p w:rsidR="00147ADF" w:rsidRDefault="00147ADF" w:rsidP="00053E68">
      <w:pPr>
        <w:pStyle w:val="Heading4"/>
        <w:keepNext w:val="0"/>
      </w:pPr>
      <w:r w:rsidRPr="00597079">
        <w:t>1/1.15/3.2.1.</w:t>
      </w:r>
      <w:r w:rsidRPr="00597079">
        <w:tab/>
      </w:r>
      <w:r w:rsidR="00F8128E" w:rsidRPr="001B7728">
        <w:rPr>
          <w:lang w:val="en-US"/>
        </w:rPr>
        <w:t>Sharing and compatibility studies</w:t>
      </w:r>
      <w:r w:rsidR="00F8128E" w:rsidRPr="00597079">
        <w:t xml:space="preserve"> </w:t>
      </w:r>
      <w:r w:rsidR="00F8128E">
        <w:t xml:space="preserve">for </w:t>
      </w:r>
      <w:r w:rsidRPr="00597079">
        <w:t xml:space="preserve">EESS (passive) </w:t>
      </w:r>
    </w:p>
    <w:p w:rsidR="0060048C" w:rsidRPr="00937293" w:rsidRDefault="0060048C" w:rsidP="0060048C">
      <w:r>
        <w:t>The studies concluded that</w:t>
      </w:r>
      <w:r w:rsidRPr="00286DF8">
        <w:t xml:space="preserve"> the following bands currently identified for EESS (passive) in </w:t>
      </w:r>
      <w:r w:rsidRPr="00286DF8">
        <w:rPr>
          <w:bCs/>
        </w:rPr>
        <w:t>RR</w:t>
      </w:r>
      <w:r w:rsidRPr="00286DF8">
        <w:rPr>
          <w:b/>
        </w:rPr>
        <w:t xml:space="preserve"> </w:t>
      </w:r>
      <w:r w:rsidRPr="00286DF8">
        <w:rPr>
          <w:bCs/>
        </w:rPr>
        <w:t>N</w:t>
      </w:r>
      <w:r w:rsidRPr="00286DF8">
        <w:rPr>
          <w:b/>
        </w:rPr>
        <w:t xml:space="preserve">° 5.565 </w:t>
      </w:r>
      <w:r w:rsidRPr="00286DF8">
        <w:t>can</w:t>
      </w:r>
      <w:r>
        <w:t>not be made available to the FS: [</w:t>
      </w:r>
      <w:r w:rsidRPr="00166BB6">
        <w:rPr>
          <w:rStyle w:val="BookTitle"/>
          <w:b w:val="0"/>
          <w:i w:val="0"/>
        </w:rPr>
        <w:t>296</w:t>
      </w:r>
      <w:r w:rsidRPr="00286DF8">
        <w:t>-306 GHz</w:t>
      </w:r>
      <w:r>
        <w:t xml:space="preserve">, </w:t>
      </w:r>
      <w:r w:rsidRPr="00286DF8">
        <w:t>313-320 GHz</w:t>
      </w:r>
      <w:r>
        <w:t xml:space="preserve"> and </w:t>
      </w:r>
      <w:r w:rsidRPr="00286DF8">
        <w:t>331-356 GHz</w:t>
      </w:r>
      <w:r>
        <w:t xml:space="preserve">]. </w:t>
      </w:r>
      <w:r w:rsidRPr="00286DF8">
        <w:t>In the remaining parts of the 275-450 GHz range, FS i</w:t>
      </w:r>
      <w:r>
        <w:t>dentification can be envisaged noting that these results do not include compatibility with the radio astronomy service which is address</w:t>
      </w:r>
      <w:r w:rsidR="00801C6F">
        <w:t>ed</w:t>
      </w:r>
      <w:r>
        <w:t xml:space="preserve"> in the following section.</w:t>
      </w:r>
    </w:p>
    <w:p w:rsidR="00147ADF" w:rsidRDefault="00147ADF" w:rsidP="00147ADF">
      <w:pPr>
        <w:pStyle w:val="Heading4"/>
        <w:tabs>
          <w:tab w:val="clear" w:pos="1871"/>
          <w:tab w:val="clear" w:pos="2268"/>
          <w:tab w:val="left" w:pos="1843"/>
        </w:tabs>
      </w:pPr>
      <w:r>
        <w:t>1/1.15/3.2.</w:t>
      </w:r>
      <w:r w:rsidR="00F8128E">
        <w:t>2</w:t>
      </w:r>
      <w:r>
        <w:tab/>
      </w:r>
      <w:r w:rsidR="00F8128E" w:rsidRPr="001B7728">
        <w:rPr>
          <w:lang w:val="en-US"/>
        </w:rPr>
        <w:t>Sharing and compatibility studies</w:t>
      </w:r>
      <w:r w:rsidR="00F8128E" w:rsidRPr="00597079">
        <w:t xml:space="preserve"> </w:t>
      </w:r>
      <w:r w:rsidR="00F8128E">
        <w:t xml:space="preserve">for </w:t>
      </w:r>
      <w:r>
        <w:t xml:space="preserve">RAS </w:t>
      </w:r>
    </w:p>
    <w:p w:rsidR="0037777D" w:rsidRPr="008D6220" w:rsidRDefault="0060048C" w:rsidP="00B265F8">
      <w:pPr>
        <w:pStyle w:val="NormalWeb"/>
        <w:rPr>
          <w:i/>
          <w:lang w:eastAsia="ja-JP"/>
        </w:rPr>
      </w:pPr>
      <w:r>
        <w:rPr>
          <w:color w:val="000000"/>
        </w:rPr>
        <w:t>Compatibility studies between the RAS and LMS/FS applications concluded that a</w:t>
      </w:r>
      <w:r w:rsidRPr="00492A7B">
        <w:rPr>
          <w:color w:val="000000"/>
        </w:rPr>
        <w:t xml:space="preserve">tmospheric attenuation independent of free-space losses at 275–450 GHz is not sufficient to provide compatibility between FS and </w:t>
      </w:r>
      <w:r w:rsidRPr="008D6220">
        <w:rPr>
          <w:color w:val="000000"/>
        </w:rPr>
        <w:t xml:space="preserve">RAS operations in the absence of other considerations. </w:t>
      </w:r>
      <w:r w:rsidR="008D6220" w:rsidRPr="008D6220">
        <w:rPr>
          <w:color w:val="000000"/>
        </w:rPr>
        <w:t>In the bands identified for RAS</w:t>
      </w:r>
      <w:r w:rsidR="008D6220">
        <w:rPr>
          <w:color w:val="000000"/>
        </w:rPr>
        <w:t xml:space="preserve"> in</w:t>
      </w:r>
      <w:r w:rsidR="008D6220" w:rsidRPr="008D6220">
        <w:rPr>
          <w:color w:val="000000"/>
        </w:rPr>
        <w:t xml:space="preserve"> RR </w:t>
      </w:r>
      <w:r w:rsidR="008D6220" w:rsidRPr="00286DF8">
        <w:rPr>
          <w:bCs/>
        </w:rPr>
        <w:t>N</w:t>
      </w:r>
      <w:r w:rsidR="008D6220" w:rsidRPr="00286DF8">
        <w:rPr>
          <w:b/>
        </w:rPr>
        <w:t>°</w:t>
      </w:r>
      <w:r w:rsidR="008D6220" w:rsidRPr="008D6220">
        <w:rPr>
          <w:color w:val="000000"/>
        </w:rPr>
        <w:t xml:space="preserve"> </w:t>
      </w:r>
      <w:r w:rsidR="008D6220" w:rsidRPr="00B265F8">
        <w:rPr>
          <w:b/>
          <w:color w:val="000000"/>
        </w:rPr>
        <w:t xml:space="preserve">5.565 </w:t>
      </w:r>
      <w:r w:rsidR="008D6220" w:rsidRPr="008D6220">
        <w:rPr>
          <w:color w:val="000000"/>
        </w:rPr>
        <w:t>(</w:t>
      </w:r>
      <w:r w:rsidR="008D6220" w:rsidRPr="00B265F8">
        <w:rPr>
          <w:iCs/>
        </w:rPr>
        <w:t>275-323 GHz, 327-371 GHz, 388-424 GHz and 426-442 GHz</w:t>
      </w:r>
      <w:r w:rsidR="008D6220" w:rsidRPr="008D6220">
        <w:rPr>
          <w:color w:val="000000"/>
        </w:rPr>
        <w:t>), s</w:t>
      </w:r>
      <w:r w:rsidRPr="008D6220">
        <w:rPr>
          <w:color w:val="000000"/>
        </w:rPr>
        <w:t>eparation distances and or avoidance angles between RAS stations and FS stations should be considered depending on the deployment environment of FS stations</w:t>
      </w:r>
      <w:r w:rsidRPr="003B65F6">
        <w:rPr>
          <w:color w:val="000000"/>
        </w:rPr>
        <w:t>.</w:t>
      </w:r>
    </w:p>
    <w:p w:rsidR="00147ADF" w:rsidRPr="001B7728" w:rsidRDefault="00147ADF" w:rsidP="00147ADF">
      <w:pPr>
        <w:pStyle w:val="Heading1"/>
        <w:rPr>
          <w:lang w:val="en-US" w:eastAsia="ja-JP"/>
        </w:rPr>
      </w:pPr>
      <w:r w:rsidRPr="001B7728">
        <w:rPr>
          <w:lang w:val="en-US"/>
        </w:rPr>
        <w:t>1/1.15/4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Methods to satisfy the agenda item</w:t>
      </w:r>
    </w:p>
    <w:p w:rsidR="00147ADF" w:rsidRPr="00E217D4" w:rsidRDefault="00147ADF" w:rsidP="00147ADF">
      <w:pPr>
        <w:spacing w:before="240" w:after="240"/>
        <w:rPr>
          <w:i/>
          <w:lang w:eastAsia="zh-CN"/>
        </w:rPr>
      </w:pPr>
      <w:r w:rsidRPr="00B265F8">
        <w:rPr>
          <w:color w:val="000000" w:themeColor="text1"/>
          <w:lang w:eastAsia="ko-KR"/>
        </w:rPr>
        <w:t>The</w:t>
      </w:r>
      <w:r w:rsidRPr="00B265F8">
        <w:rPr>
          <w:lang w:eastAsia="ko-KR"/>
        </w:rPr>
        <w:t xml:space="preserve"> following m</w:t>
      </w:r>
      <w:r w:rsidRPr="00B265F8">
        <w:rPr>
          <w:rFonts w:eastAsia="Batang"/>
        </w:rPr>
        <w:t>ethods</w:t>
      </w:r>
      <w:r w:rsidRPr="00B265F8">
        <w:t xml:space="preserve"> are considered to satisfy this agenda item </w:t>
      </w:r>
      <w:r w:rsidRPr="00B265F8">
        <w:rPr>
          <w:lang w:eastAsia="ko-KR"/>
        </w:rPr>
        <w:t>and may be applied to the candidate frequency bands. These are:</w:t>
      </w:r>
    </w:p>
    <w:p w:rsidR="003B65F6" w:rsidRDefault="00147ADF" w:rsidP="003B65F6">
      <w:r w:rsidRPr="00B265F8">
        <w:rPr>
          <w:b/>
        </w:rPr>
        <w:t xml:space="preserve">Method </w:t>
      </w:r>
      <w:r w:rsidR="0060048C" w:rsidRPr="00B265F8">
        <w:rPr>
          <w:b/>
        </w:rPr>
        <w:t>A</w:t>
      </w:r>
      <w:r w:rsidR="0060048C" w:rsidRPr="00B265F8">
        <w:t xml:space="preserve"> </w:t>
      </w:r>
      <w:r w:rsidRPr="00B265F8">
        <w:t xml:space="preserve">– </w:t>
      </w:r>
      <w:r w:rsidR="003B65F6" w:rsidRPr="006304D9">
        <w:t>Identify the frequency band</w:t>
      </w:r>
      <w:r w:rsidR="003B65F6">
        <w:t xml:space="preserve">s that are compatible with both </w:t>
      </w:r>
      <w:proofErr w:type="gramStart"/>
      <w:r w:rsidR="003B65F6">
        <w:t>EESS(</w:t>
      </w:r>
      <w:proofErr w:type="gramEnd"/>
      <w:r w:rsidR="003B65F6">
        <w:t>passive) and RAS with respect to the land-</w:t>
      </w:r>
      <w:r w:rsidR="003B65F6" w:rsidRPr="006304D9">
        <w:t>mobile and fixed service applications by a new footnote.</w:t>
      </w:r>
    </w:p>
    <w:p w:rsidR="00147ADF" w:rsidRPr="00B265F8" w:rsidRDefault="00147ADF" w:rsidP="00147ADF"/>
    <w:p w:rsidR="00147ADF" w:rsidRPr="0060048C" w:rsidRDefault="00147ADF" w:rsidP="00147ADF">
      <w:r w:rsidRPr="00B265F8">
        <w:rPr>
          <w:b/>
        </w:rPr>
        <w:lastRenderedPageBreak/>
        <w:t xml:space="preserve">Other methods </w:t>
      </w:r>
      <w:r w:rsidRPr="00B265F8">
        <w:t xml:space="preserve">– </w:t>
      </w:r>
      <w:r w:rsidR="00801C6F">
        <w:t>[</w:t>
      </w:r>
      <w:r w:rsidRPr="00B265F8">
        <w:t>TBD]</w:t>
      </w:r>
    </w:p>
    <w:p w:rsidR="00147ADF" w:rsidRDefault="00147ADF" w:rsidP="00147ADF">
      <w:pPr>
        <w:pStyle w:val="Heading2"/>
      </w:pPr>
      <w:r w:rsidRPr="0060048C">
        <w:t xml:space="preserve">1/1.15/4.1 </w:t>
      </w:r>
      <w:r w:rsidRPr="0060048C">
        <w:tab/>
        <w:t xml:space="preserve">Frequency band </w:t>
      </w:r>
      <w:r w:rsidR="0037777D" w:rsidRPr="00B265F8">
        <w:t>275</w:t>
      </w:r>
      <w:r w:rsidRPr="00B265F8">
        <w:t>-</w:t>
      </w:r>
      <w:r w:rsidR="00C63B07" w:rsidRPr="0060048C">
        <w:t>450 </w:t>
      </w:r>
      <w:r w:rsidRPr="0060048C">
        <w:t>GHz</w:t>
      </w:r>
    </w:p>
    <w:p w:rsidR="0037777D" w:rsidRPr="00B265F8" w:rsidRDefault="0037777D" w:rsidP="0037777D">
      <w:r w:rsidRPr="00B265F8">
        <w:t xml:space="preserve">Method </w:t>
      </w:r>
      <w:r w:rsidR="00801C6F">
        <w:t>A</w:t>
      </w:r>
      <w:r w:rsidR="00801C6F" w:rsidRPr="00B265F8">
        <w:t xml:space="preserve"> </w:t>
      </w:r>
      <w:r w:rsidRPr="00B265F8">
        <w:t>– New footnote 5.</w:t>
      </w:r>
      <w:r w:rsidR="008732FD">
        <w:t>A</w:t>
      </w:r>
      <w:r w:rsidR="008732FD" w:rsidRPr="000E622D">
        <w:t>115</w:t>
      </w:r>
      <w:r w:rsidR="008732FD" w:rsidRPr="00B265F8">
        <w:t xml:space="preserve"> </w:t>
      </w:r>
      <w:r w:rsidRPr="00B265F8">
        <w:t>to the relevant part of the Radio Regulations is proposed.</w:t>
      </w:r>
    </w:p>
    <w:p w:rsidR="0037777D" w:rsidRPr="0037777D" w:rsidRDefault="0037777D" w:rsidP="0037777D">
      <w:r w:rsidRPr="00B265F8">
        <w:t>Reason:</w:t>
      </w:r>
      <w:r w:rsidRPr="00B265F8">
        <w:tab/>
      </w:r>
      <w:r w:rsidR="0060048C">
        <w:t xml:space="preserve">Studies have shown compatibility between </w:t>
      </w:r>
      <w:proofErr w:type="gramStart"/>
      <w:r w:rsidR="0060048C">
        <w:t>EESS(</w:t>
      </w:r>
      <w:proofErr w:type="gramEnd"/>
      <w:r w:rsidR="0060048C">
        <w:t>passive) and RAS in all band except [</w:t>
      </w:r>
      <w:r w:rsidR="0060048C" w:rsidRPr="00166BB6">
        <w:rPr>
          <w:rStyle w:val="BookTitle"/>
          <w:b w:val="0"/>
          <w:i w:val="0"/>
        </w:rPr>
        <w:t>296</w:t>
      </w:r>
      <w:r w:rsidR="0060048C" w:rsidRPr="00286DF8">
        <w:t>-306 GHz</w:t>
      </w:r>
      <w:r w:rsidR="0060048C">
        <w:t xml:space="preserve">, </w:t>
      </w:r>
      <w:r w:rsidR="0060048C" w:rsidRPr="00286DF8">
        <w:t>313-320 GHz</w:t>
      </w:r>
      <w:r w:rsidR="0060048C">
        <w:t xml:space="preserve"> and </w:t>
      </w:r>
      <w:r w:rsidR="0060048C" w:rsidRPr="00286DF8">
        <w:t>331-356 GHz</w:t>
      </w:r>
      <w:r w:rsidR="0060048C">
        <w:t>]. The remaining spectrum can be identified for LMS/FS applications [pending the results of further studies].</w:t>
      </w:r>
    </w:p>
    <w:p w:rsidR="00147ADF" w:rsidRPr="001B7728" w:rsidRDefault="00147ADF" w:rsidP="00147ADF">
      <w:pPr>
        <w:pStyle w:val="Heading1"/>
        <w:rPr>
          <w:lang w:val="en-US"/>
        </w:rPr>
      </w:pPr>
      <w:r w:rsidRPr="001B7728">
        <w:rPr>
          <w:lang w:val="en-US"/>
        </w:rPr>
        <w:t>1/1.15/5</w:t>
      </w:r>
      <w:r w:rsidRPr="001B7728">
        <w:rPr>
          <w:lang w:val="en-US"/>
        </w:rPr>
        <w:tab/>
      </w:r>
      <w:r w:rsidRPr="001B7728">
        <w:rPr>
          <w:lang w:val="en-US"/>
        </w:rPr>
        <w:tab/>
        <w:t>Regulatory and procedural considerations</w:t>
      </w:r>
    </w:p>
    <w:p w:rsidR="00147ADF" w:rsidRPr="00B265F8" w:rsidRDefault="00147ADF" w:rsidP="00147ADF">
      <w:pPr>
        <w:rPr>
          <w:iCs/>
          <w:lang w:val="en-US"/>
        </w:rPr>
      </w:pPr>
      <w:r w:rsidRPr="00B265F8">
        <w:rPr>
          <w:iCs/>
          <w:lang w:val="en-US"/>
        </w:rPr>
        <w:t>Example</w:t>
      </w:r>
      <w:r w:rsidR="006675B9">
        <w:rPr>
          <w:iCs/>
          <w:lang w:val="en-US"/>
        </w:rPr>
        <w:t>s</w:t>
      </w:r>
      <w:r w:rsidRPr="00B265F8">
        <w:rPr>
          <w:iCs/>
          <w:lang w:val="en-US"/>
        </w:rPr>
        <w:t xml:space="preserve"> of regulatory text relating to Method</w:t>
      </w:r>
      <w:r w:rsidR="006675B9">
        <w:rPr>
          <w:iCs/>
          <w:lang w:val="en-US"/>
        </w:rPr>
        <w:t xml:space="preserve"> A</w:t>
      </w:r>
      <w:r w:rsidRPr="00B265F8">
        <w:rPr>
          <w:iCs/>
          <w:lang w:val="en-US"/>
        </w:rPr>
        <w:t xml:space="preserve"> to satisfy the agenda item</w:t>
      </w:r>
    </w:p>
    <w:p w:rsidR="0037777D" w:rsidRPr="00B265F8" w:rsidRDefault="0037777D" w:rsidP="0037777D">
      <w:pPr>
        <w:rPr>
          <w:iCs/>
          <w:lang w:val="en-US"/>
        </w:rPr>
      </w:pPr>
    </w:p>
    <w:p w:rsidR="0037777D" w:rsidRPr="00B265F8" w:rsidRDefault="0037777D" w:rsidP="0037777D">
      <w:pPr>
        <w:pStyle w:val="ArtNo"/>
        <w:spacing w:before="0"/>
        <w:rPr>
          <w:lang w:val="en-AU"/>
        </w:rPr>
      </w:pPr>
      <w:bookmarkStart w:id="9" w:name="_Toc451865291"/>
      <w:r w:rsidRPr="00B265F8">
        <w:t>ARTICLE</w:t>
      </w:r>
      <w:r w:rsidRPr="00B265F8">
        <w:rPr>
          <w:lang w:val="en-AU"/>
        </w:rPr>
        <w:t xml:space="preserve"> </w:t>
      </w:r>
      <w:r w:rsidRPr="00B265F8">
        <w:rPr>
          <w:rStyle w:val="href"/>
          <w:rFonts w:eastAsiaTheme="majorEastAsia"/>
          <w:color w:val="000000"/>
          <w:lang w:val="en-AU"/>
        </w:rPr>
        <w:t>5</w:t>
      </w:r>
      <w:bookmarkEnd w:id="9"/>
    </w:p>
    <w:p w:rsidR="0037777D" w:rsidRPr="00B265F8" w:rsidRDefault="0037777D" w:rsidP="0037777D">
      <w:pPr>
        <w:pStyle w:val="Arttitle"/>
        <w:rPr>
          <w:lang w:val="en-US"/>
        </w:rPr>
      </w:pPr>
      <w:bookmarkStart w:id="10" w:name="_Toc327956583"/>
      <w:bookmarkStart w:id="11" w:name="_Toc451865292"/>
      <w:r w:rsidRPr="00B265F8">
        <w:t>Frequency allocations</w:t>
      </w:r>
      <w:bookmarkEnd w:id="10"/>
      <w:bookmarkEnd w:id="11"/>
    </w:p>
    <w:p w:rsidR="0037777D" w:rsidRPr="00B265F8" w:rsidRDefault="0037777D" w:rsidP="0037777D">
      <w:pPr>
        <w:pStyle w:val="Section1"/>
        <w:rPr>
          <w:lang w:val="en-US" w:eastAsia="ja-JP"/>
        </w:rPr>
      </w:pPr>
      <w:r w:rsidRPr="00B265F8">
        <w:rPr>
          <w:lang w:eastAsia="ja-JP"/>
        </w:rPr>
        <w:t>Section</w:t>
      </w:r>
      <w:r w:rsidRPr="00B265F8">
        <w:rPr>
          <w:lang w:val="en-AU" w:eastAsia="ja-JP"/>
        </w:rPr>
        <w:t xml:space="preserve"> IV – Table of Frequency </w:t>
      </w:r>
      <w:proofErr w:type="gramStart"/>
      <w:r w:rsidRPr="00B265F8">
        <w:rPr>
          <w:lang w:val="en-AU" w:eastAsia="ja-JP"/>
        </w:rPr>
        <w:t>Allocations</w:t>
      </w:r>
      <w:proofErr w:type="gramEnd"/>
      <w:r w:rsidRPr="00B265F8">
        <w:rPr>
          <w:lang w:val="en-AU" w:eastAsia="ja-JP"/>
        </w:rPr>
        <w:br/>
      </w:r>
      <w:r w:rsidRPr="00B265F8">
        <w:rPr>
          <w:bCs/>
          <w:lang w:eastAsia="ja-JP"/>
        </w:rPr>
        <w:t xml:space="preserve">(See No. </w:t>
      </w:r>
      <w:r w:rsidRPr="00B265F8">
        <w:rPr>
          <w:lang w:eastAsia="ja-JP"/>
        </w:rPr>
        <w:t>2.1</w:t>
      </w:r>
      <w:r w:rsidRPr="00B265F8">
        <w:rPr>
          <w:bCs/>
          <w:lang w:eastAsia="ja-JP"/>
        </w:rPr>
        <w:t>)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3097"/>
        <w:gridCol w:w="3099"/>
        <w:gridCol w:w="3104"/>
      </w:tblGrid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777D" w:rsidRPr="00B265F8" w:rsidRDefault="0037777D" w:rsidP="002A2E26">
            <w:pPr>
              <w:pStyle w:val="Tabletitle"/>
            </w:pPr>
            <w:r w:rsidRPr="00B265F8">
              <w:t>248-3</w:t>
            </w:r>
            <w:r w:rsidRPr="00B265F8">
              <w:rPr>
                <w:rFonts w:hint="eastAsia"/>
              </w:rPr>
              <w:t> </w:t>
            </w:r>
            <w:r w:rsidRPr="00B265F8">
              <w:t>000</w:t>
            </w:r>
            <w:r w:rsidRPr="00B265F8">
              <w:rPr>
                <w:rFonts w:hint="eastAsia"/>
              </w:rPr>
              <w:t> </w:t>
            </w:r>
            <w:r w:rsidRPr="00B265F8">
              <w:t>GHz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head"/>
            </w:pPr>
            <w:r w:rsidRPr="00B265F8">
              <w:t>Allocation to services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head"/>
            </w:pPr>
            <w:r w:rsidRPr="00B265F8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head"/>
            </w:pPr>
            <w:r w:rsidRPr="00B265F8">
              <w:t>Region 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head"/>
            </w:pPr>
            <w:r w:rsidRPr="00B265F8">
              <w:t>Region 3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TextS5"/>
              <w:spacing w:line="200" w:lineRule="exact"/>
              <w:rPr>
                <w:color w:val="000000"/>
                <w:lang w:val="fr-FR"/>
              </w:rPr>
            </w:pPr>
            <w:r w:rsidRPr="00B265F8">
              <w:rPr>
                <w:rStyle w:val="Tablefreq"/>
                <w:lang w:val="fr-CH"/>
              </w:rPr>
              <w:t>248-250</w:t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  <w:t>AMATEUR</w:t>
            </w:r>
          </w:p>
          <w:p w:rsidR="0037777D" w:rsidRPr="00B265F8" w:rsidRDefault="0037777D" w:rsidP="002A2E26">
            <w:pPr>
              <w:pStyle w:val="TableTextS5"/>
              <w:spacing w:line="200" w:lineRule="exact"/>
              <w:rPr>
                <w:color w:val="000000"/>
                <w:lang w:val="fr-CH"/>
              </w:rPr>
            </w:pP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  <w:t>AMATEUR-SATELLITE</w:t>
            </w:r>
          </w:p>
          <w:p w:rsidR="0037777D" w:rsidRPr="00B265F8" w:rsidRDefault="0037777D" w:rsidP="002A2E26">
            <w:pPr>
              <w:pStyle w:val="TableTextS5"/>
              <w:spacing w:line="200" w:lineRule="exact"/>
              <w:rPr>
                <w:color w:val="000000"/>
                <w:lang w:val="fr-CH"/>
              </w:rPr>
            </w:pP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  <w:t xml:space="preserve">Radio </w:t>
            </w:r>
            <w:proofErr w:type="spellStart"/>
            <w:r w:rsidRPr="00B265F8">
              <w:rPr>
                <w:color w:val="000000"/>
                <w:lang w:val="fr-CH"/>
              </w:rPr>
              <w:t>astronomy</w:t>
            </w:r>
            <w:proofErr w:type="spellEnd"/>
          </w:p>
          <w:p w:rsidR="0037777D" w:rsidRPr="00B265F8" w:rsidRDefault="0037777D" w:rsidP="002A2E26">
            <w:pPr>
              <w:pStyle w:val="TableTextS5"/>
              <w:rPr>
                <w:rStyle w:val="Artref"/>
                <w:lang w:val="fr-FR"/>
              </w:rPr>
            </w:pP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color w:val="000000"/>
                <w:lang w:val="fr-CH"/>
              </w:rPr>
              <w:tab/>
            </w:r>
            <w:r w:rsidRPr="00B265F8">
              <w:rPr>
                <w:rStyle w:val="Artref"/>
                <w:color w:val="000000"/>
                <w:lang w:val="fr-CH"/>
              </w:rPr>
              <w:t>5.149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TextS5"/>
              <w:spacing w:line="200" w:lineRule="exact"/>
            </w:pPr>
            <w:r w:rsidRPr="00B265F8">
              <w:rPr>
                <w:rStyle w:val="Tablefreq"/>
              </w:rPr>
              <w:t>250-252</w:t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EARTH EXPLORATION-SATELLITE (passive)</w:t>
            </w:r>
          </w:p>
          <w:p w:rsidR="0037777D" w:rsidRPr="00B265F8" w:rsidRDefault="0037777D" w:rsidP="002A2E26">
            <w:pPr>
              <w:pStyle w:val="TableTextS5"/>
              <w:spacing w:line="200" w:lineRule="exact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RADIO ASTRONOMY</w:t>
            </w:r>
          </w:p>
          <w:p w:rsidR="0037777D" w:rsidRPr="00B265F8" w:rsidRDefault="0037777D" w:rsidP="002A2E26">
            <w:pPr>
              <w:pStyle w:val="TableTextS5"/>
              <w:spacing w:line="200" w:lineRule="exact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SPACE RESEARCH (passive)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  <w:lang w:val="en-AU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rStyle w:val="Artref"/>
                <w:color w:val="000000"/>
              </w:rPr>
              <w:t>5.340  5.563A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rStyle w:val="Tablefreq"/>
              </w:rPr>
              <w:t>252-265</w:t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FIXED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MOBILE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MOBILE-SATELLITE (Earth-to-space)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RADIO ASTRONOMY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RADIONAVIGATION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RADIONAVIGATION-SATELLITE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  <w:lang w:val="en-AU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rStyle w:val="Artref"/>
                <w:color w:val="000000"/>
              </w:rPr>
              <w:t>5.149</w:t>
            </w:r>
            <w:r w:rsidRPr="00B265F8">
              <w:rPr>
                <w:color w:val="000000"/>
              </w:rPr>
              <w:t xml:space="preserve">  </w:t>
            </w:r>
            <w:r w:rsidRPr="00B265F8">
              <w:rPr>
                <w:rStyle w:val="Artref"/>
                <w:color w:val="000000"/>
              </w:rPr>
              <w:t>5.554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rStyle w:val="Tablefreq"/>
              </w:rPr>
              <w:t>265-275</w:t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FIXED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FIXED-SATELLITE (Earth-to-space)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MOBILE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  <w:t>RADIO ASTRONOMY</w:t>
            </w:r>
          </w:p>
          <w:p w:rsidR="0037777D" w:rsidRPr="00B265F8" w:rsidRDefault="0037777D" w:rsidP="002A2E26">
            <w:pPr>
              <w:pStyle w:val="TableTextS5"/>
              <w:rPr>
                <w:color w:val="000000"/>
                <w:lang w:val="en-AU"/>
              </w:rPr>
            </w:pP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color w:val="000000"/>
              </w:rPr>
              <w:tab/>
            </w:r>
            <w:r w:rsidRPr="00B265F8">
              <w:rPr>
                <w:rStyle w:val="Artref"/>
                <w:color w:val="000000"/>
              </w:rPr>
              <w:t>5.149  5.563A</w:t>
            </w:r>
          </w:p>
        </w:tc>
      </w:tr>
      <w:tr w:rsidR="0037777D" w:rsidRPr="00AD7446" w:rsidTr="002A2E26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7D" w:rsidRPr="00AD7446" w:rsidRDefault="0037777D" w:rsidP="003B65F6">
            <w:pPr>
              <w:pStyle w:val="TableTextS5"/>
              <w:rPr>
                <w:caps/>
                <w:color w:val="000000"/>
              </w:rPr>
            </w:pPr>
            <w:r w:rsidRPr="00B265F8">
              <w:rPr>
                <w:rStyle w:val="Tablefreq"/>
              </w:rPr>
              <w:t>275-3 000</w:t>
            </w:r>
            <w:r w:rsidRPr="00B265F8">
              <w:rPr>
                <w:color w:val="000000"/>
              </w:rPr>
              <w:tab/>
              <w:t xml:space="preserve">(Not allocated)  </w:t>
            </w:r>
            <w:r w:rsidRPr="00B265F8">
              <w:rPr>
                <w:rStyle w:val="Artref"/>
                <w:color w:val="000000"/>
              </w:rPr>
              <w:t xml:space="preserve">5.565 </w:t>
            </w:r>
            <w:r w:rsidR="006675B9">
              <w:rPr>
                <w:rStyle w:val="Artref"/>
                <w:color w:val="000000"/>
              </w:rPr>
              <w:t xml:space="preserve"> ADD</w:t>
            </w:r>
            <w:r w:rsidRPr="00B265F8">
              <w:rPr>
                <w:rStyle w:val="Artref"/>
                <w:color w:val="000000"/>
              </w:rPr>
              <w:t xml:space="preserve"> 5.</w:t>
            </w:r>
            <w:r w:rsidR="003B65F6">
              <w:rPr>
                <w:rStyle w:val="Artref"/>
                <w:color w:val="000000"/>
              </w:rPr>
              <w:t>A</w:t>
            </w:r>
            <w:r w:rsidRPr="00B265F8">
              <w:rPr>
                <w:rStyle w:val="Artref"/>
                <w:color w:val="000000"/>
              </w:rPr>
              <w:t>115</w:t>
            </w:r>
          </w:p>
        </w:tc>
      </w:tr>
    </w:tbl>
    <w:p w:rsidR="0037777D" w:rsidRPr="00B265F8" w:rsidRDefault="0037777D" w:rsidP="0037777D">
      <w:pPr>
        <w:rPr>
          <w:iCs/>
          <w:lang w:val="en-US"/>
        </w:rPr>
      </w:pPr>
    </w:p>
    <w:p w:rsidR="0060048C" w:rsidRPr="004C5A59" w:rsidRDefault="0060048C" w:rsidP="0060048C">
      <w:pPr>
        <w:rPr>
          <w:iCs/>
          <w:lang w:val="en-US"/>
        </w:rPr>
      </w:pPr>
      <w:r w:rsidRPr="004C5A59">
        <w:rPr>
          <w:iCs/>
          <w:lang w:val="en-US"/>
        </w:rPr>
        <w:t xml:space="preserve">ADD  </w:t>
      </w:r>
    </w:p>
    <w:p w:rsidR="0060048C" w:rsidRPr="00B265F8" w:rsidRDefault="0060048C" w:rsidP="0060048C">
      <w:pPr>
        <w:rPr>
          <w:iCs/>
          <w:sz w:val="20"/>
          <w:lang w:val="en-US"/>
        </w:rPr>
      </w:pPr>
      <w:proofErr w:type="gramStart"/>
      <w:r w:rsidRPr="00B265F8">
        <w:rPr>
          <w:b/>
          <w:iCs/>
          <w:sz w:val="20"/>
          <w:lang w:val="en-US"/>
        </w:rPr>
        <w:t>5.</w:t>
      </w:r>
      <w:r w:rsidR="003B65F6">
        <w:rPr>
          <w:b/>
          <w:iCs/>
          <w:sz w:val="20"/>
          <w:lang w:val="en-US"/>
        </w:rPr>
        <w:t>A</w:t>
      </w:r>
      <w:r w:rsidRPr="00B265F8">
        <w:rPr>
          <w:b/>
          <w:iCs/>
          <w:sz w:val="20"/>
          <w:lang w:val="en-US"/>
        </w:rPr>
        <w:t>115</w:t>
      </w:r>
      <w:proofErr w:type="gramEnd"/>
      <w:r w:rsidRPr="00B265F8">
        <w:rPr>
          <w:iCs/>
          <w:sz w:val="20"/>
          <w:lang w:val="en-US"/>
        </w:rPr>
        <w:tab/>
        <w:t xml:space="preserve">The following frequency bands are identified for use by administrations for the implementation of </w:t>
      </w:r>
      <w:r w:rsidR="008D6220">
        <w:rPr>
          <w:iCs/>
          <w:sz w:val="20"/>
          <w:lang w:val="en-US"/>
        </w:rPr>
        <w:t xml:space="preserve">the following </w:t>
      </w:r>
      <w:r w:rsidRPr="00B265F8">
        <w:rPr>
          <w:iCs/>
          <w:sz w:val="20"/>
          <w:lang w:val="en-US"/>
        </w:rPr>
        <w:t>active service applications:</w:t>
      </w:r>
    </w:p>
    <w:p w:rsidR="0060048C" w:rsidRPr="00B265F8" w:rsidRDefault="0060048C" w:rsidP="0060048C">
      <w:pPr>
        <w:rPr>
          <w:iCs/>
          <w:sz w:val="20"/>
          <w:lang w:val="en-US"/>
        </w:rPr>
      </w:pPr>
    </w:p>
    <w:p w:rsidR="0060048C" w:rsidRPr="00B265F8" w:rsidRDefault="0060048C" w:rsidP="006004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Cs/>
          <w:sz w:val="20"/>
          <w:szCs w:val="20"/>
          <w:lang w:val="en-US"/>
        </w:rPr>
      </w:pPr>
      <w:r w:rsidRPr="0060048C">
        <w:rPr>
          <w:iCs/>
          <w:sz w:val="20"/>
          <w:szCs w:val="20"/>
          <w:lang w:val="en-US"/>
        </w:rPr>
        <w:t>land-mobile service applications:</w:t>
      </w:r>
      <w:r w:rsidRPr="0060048C">
        <w:rPr>
          <w:iCs/>
          <w:sz w:val="20"/>
          <w:szCs w:val="20"/>
          <w:lang w:val="en-US"/>
        </w:rPr>
        <w:tab/>
        <w:t>275-296 GHz</w:t>
      </w:r>
      <w:r w:rsidR="006675B9">
        <w:rPr>
          <w:iCs/>
          <w:sz w:val="20"/>
          <w:szCs w:val="20"/>
          <w:lang w:val="en-US"/>
        </w:rPr>
        <w:t>,</w:t>
      </w:r>
      <w:r w:rsidRPr="0060048C">
        <w:rPr>
          <w:iCs/>
          <w:sz w:val="20"/>
          <w:szCs w:val="20"/>
          <w:lang w:val="en-US"/>
        </w:rPr>
        <w:t xml:space="preserve"> XXX-YYY GHz,  …. 380-392 GHz, XXX-YYY GHz,  409-411 GHz, XXX-YYY GHz, 439-450 GHz;</w:t>
      </w:r>
    </w:p>
    <w:p w:rsidR="0060048C" w:rsidRPr="00B265F8" w:rsidRDefault="0060048C" w:rsidP="0060048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Cs/>
          <w:sz w:val="20"/>
          <w:szCs w:val="20"/>
          <w:lang w:val="en-US"/>
        </w:rPr>
      </w:pPr>
      <w:r w:rsidRPr="0060048C">
        <w:rPr>
          <w:iCs/>
          <w:sz w:val="20"/>
          <w:szCs w:val="20"/>
          <w:lang w:val="en-US"/>
        </w:rPr>
        <w:t>fixed service applications:</w:t>
      </w:r>
      <w:r w:rsidRPr="0060048C">
        <w:rPr>
          <w:iCs/>
          <w:sz w:val="20"/>
          <w:szCs w:val="20"/>
          <w:lang w:val="en-US"/>
        </w:rPr>
        <w:tab/>
      </w:r>
      <w:r w:rsidRPr="0060048C">
        <w:rPr>
          <w:iCs/>
          <w:sz w:val="20"/>
          <w:szCs w:val="20"/>
          <w:lang w:val="en-US"/>
        </w:rPr>
        <w:tab/>
        <w:t>275-296 GHz</w:t>
      </w:r>
      <w:r w:rsidR="006675B9">
        <w:rPr>
          <w:iCs/>
          <w:sz w:val="20"/>
          <w:szCs w:val="20"/>
          <w:lang w:val="en-US"/>
        </w:rPr>
        <w:t>,</w:t>
      </w:r>
      <w:r w:rsidRPr="0060048C">
        <w:rPr>
          <w:iCs/>
          <w:sz w:val="20"/>
          <w:szCs w:val="20"/>
          <w:lang w:val="en-US"/>
        </w:rPr>
        <w:t xml:space="preserve"> XXX-YYY GHz,  …. 380-392 GHz, XXX-YYY GHz,  409-411 GHz, XXX-YYY GHz, 439-450 GHz;</w:t>
      </w:r>
    </w:p>
    <w:p w:rsidR="0060048C" w:rsidRPr="0060048C" w:rsidRDefault="0060048C" w:rsidP="0060048C">
      <w:pPr>
        <w:ind w:left="360"/>
        <w:rPr>
          <w:rFonts w:eastAsiaTheme="minorHAnsi"/>
          <w:iCs/>
          <w:sz w:val="20"/>
          <w:lang w:val="en-US"/>
        </w:rPr>
      </w:pPr>
    </w:p>
    <w:p w:rsidR="0060048C" w:rsidRPr="00B265F8" w:rsidRDefault="0060048C" w:rsidP="0060048C">
      <w:pPr>
        <w:rPr>
          <w:sz w:val="20"/>
        </w:rPr>
      </w:pPr>
      <w:r w:rsidRPr="00B265F8">
        <w:rPr>
          <w:sz w:val="20"/>
        </w:rPr>
        <w:t xml:space="preserve">Administrations wishing to make these </w:t>
      </w:r>
      <w:r w:rsidR="006675B9">
        <w:rPr>
          <w:sz w:val="20"/>
        </w:rPr>
        <w:t xml:space="preserve">identified </w:t>
      </w:r>
      <w:r w:rsidRPr="00B265F8">
        <w:rPr>
          <w:sz w:val="20"/>
        </w:rPr>
        <w:t>frequency bands available for land-mobile and/or fixed service applications are urged to take all practicable steps to protect passive services operating according to RR N°</w:t>
      </w:r>
      <w:r w:rsidRPr="00B265F8">
        <w:rPr>
          <w:b/>
          <w:sz w:val="20"/>
        </w:rPr>
        <w:t>5.565</w:t>
      </w:r>
      <w:r w:rsidRPr="00B265F8">
        <w:rPr>
          <w:sz w:val="20"/>
        </w:rPr>
        <w:t xml:space="preserve"> until the date when the Table of Frequency Allocations is established in the 275-1 000 GHz frequency range.</w:t>
      </w:r>
      <w:r>
        <w:rPr>
          <w:sz w:val="20"/>
        </w:rPr>
        <w:t xml:space="preserve"> Frequency band</w:t>
      </w:r>
      <w:r w:rsidR="009C302B">
        <w:rPr>
          <w:sz w:val="20"/>
        </w:rPr>
        <w:t>s in the 275-450 GHz range</w:t>
      </w:r>
      <w:r>
        <w:rPr>
          <w:sz w:val="20"/>
        </w:rPr>
        <w:t xml:space="preserve"> not identified under this footnote</w:t>
      </w:r>
      <w:r w:rsidR="009C302B">
        <w:rPr>
          <w:sz w:val="20"/>
        </w:rPr>
        <w:t xml:space="preserve"> were deemed in</w:t>
      </w:r>
      <w:r>
        <w:rPr>
          <w:sz w:val="20"/>
        </w:rPr>
        <w:t xml:space="preserve">compatible with the existing </w:t>
      </w:r>
      <w:proofErr w:type="gramStart"/>
      <w:r>
        <w:rPr>
          <w:sz w:val="20"/>
        </w:rPr>
        <w:t>EESS(</w:t>
      </w:r>
      <w:proofErr w:type="gramEnd"/>
      <w:r>
        <w:rPr>
          <w:sz w:val="20"/>
        </w:rPr>
        <w:t xml:space="preserve">passive) and RAS applications identified in </w:t>
      </w:r>
      <w:r w:rsidRPr="00937293">
        <w:rPr>
          <w:sz w:val="20"/>
        </w:rPr>
        <w:t>RR N°</w:t>
      </w:r>
      <w:r w:rsidRPr="00B265F8">
        <w:rPr>
          <w:b/>
          <w:sz w:val="20"/>
        </w:rPr>
        <w:t>5.565</w:t>
      </w:r>
      <w:r w:rsidR="005F4F89">
        <w:rPr>
          <w:sz w:val="20"/>
        </w:rPr>
        <w:t>.</w:t>
      </w:r>
    </w:p>
    <w:p w:rsidR="0060048C" w:rsidRPr="00B265F8" w:rsidRDefault="0060048C" w:rsidP="0060048C">
      <w:pPr>
        <w:rPr>
          <w:iCs/>
          <w:sz w:val="20"/>
        </w:rPr>
      </w:pPr>
      <w:r w:rsidRPr="00B265F8">
        <w:rPr>
          <w:iCs/>
          <w:sz w:val="20"/>
        </w:rPr>
        <w:t xml:space="preserve">In the frequency bands 275-323 GHz, 327-371 GHz, 388-424 GHz and 426-442 GHz, some specific conditions (e.g. </w:t>
      </w:r>
      <w:r w:rsidRPr="00B265F8">
        <w:rPr>
          <w:sz w:val="20"/>
        </w:rPr>
        <w:t>minimum separation distances and/or avoidance angles</w:t>
      </w:r>
      <w:r w:rsidRPr="00B265F8">
        <w:rPr>
          <w:iCs/>
          <w:sz w:val="20"/>
        </w:rPr>
        <w:t xml:space="preserve">) may be necessary to ensure protection of radio astronomy sites from land-mobile and/or fixed service applications, on a case by case basis. </w:t>
      </w:r>
    </w:p>
    <w:p w:rsidR="00C63B07" w:rsidRPr="00B265F8" w:rsidRDefault="00C63B07" w:rsidP="00C63B07">
      <w:pPr>
        <w:rPr>
          <w:iCs/>
          <w:lang w:val="en-US"/>
        </w:rPr>
      </w:pPr>
      <w:r w:rsidRPr="00B265F8">
        <w:rPr>
          <w:iCs/>
          <w:lang w:val="en-US"/>
        </w:rPr>
        <w:t>SUP</w:t>
      </w:r>
    </w:p>
    <w:p w:rsidR="00C63B07" w:rsidRPr="00B265F8" w:rsidRDefault="00C63B07" w:rsidP="00C63B07">
      <w:pPr>
        <w:rPr>
          <w:iCs/>
          <w:lang w:val="en-US"/>
        </w:rPr>
      </w:pPr>
      <w:r w:rsidRPr="00B265F8">
        <w:rPr>
          <w:iCs/>
          <w:lang w:val="en-US"/>
        </w:rPr>
        <w:t>RESOLUTION 767 (WRC-15)</w:t>
      </w:r>
    </w:p>
    <w:p w:rsidR="00C63B07" w:rsidRPr="00B265F8" w:rsidRDefault="00C63B07" w:rsidP="00C63B07">
      <w:pPr>
        <w:rPr>
          <w:iCs/>
          <w:lang w:val="en-US"/>
        </w:rPr>
      </w:pPr>
      <w:r w:rsidRPr="00B265F8">
        <w:rPr>
          <w:iCs/>
          <w:lang w:val="en-US"/>
        </w:rPr>
        <w:t>Studies towards an identification for use by administrations for land-mobile and fixed services applications operating in the frequency range 275-450 GHz</w:t>
      </w:r>
    </w:p>
    <w:p w:rsidR="0037777D" w:rsidRPr="001B7728" w:rsidRDefault="0037777D" w:rsidP="00147ADF">
      <w:pPr>
        <w:rPr>
          <w:i/>
          <w:iCs/>
          <w:lang w:val="en-US"/>
        </w:rPr>
      </w:pPr>
    </w:p>
    <w:sectPr w:rsidR="0037777D" w:rsidRPr="001B7728" w:rsidSect="00D02712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5F6" w:rsidRDefault="003B65F6">
      <w:r>
        <w:separator/>
      </w:r>
    </w:p>
  </w:endnote>
  <w:endnote w:type="continuationSeparator" w:id="0">
    <w:p w:rsidR="003B65F6" w:rsidRDefault="003B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F6" w:rsidRPr="002F7CB3" w:rsidRDefault="005D1752">
    <w:pPr>
      <w:pStyle w:val="Footer"/>
      <w:rPr>
        <w:lang w:val="en-US"/>
      </w:rPr>
    </w:pPr>
    <w:fldSimple w:instr=" FILENAME \p \* MERGEFORMAT ">
      <w:r w:rsidR="003B65F6" w:rsidRPr="008E7B9A">
        <w:rPr>
          <w:lang w:val="en-US"/>
        </w:rPr>
        <w:t>M</w:t>
      </w:r>
      <w:r w:rsidR="003B65F6">
        <w:t>:\BRSGD\TEXT2017\SG01\WP1A\200\208\208N01e.docx</w:t>
      </w:r>
    </w:fldSimple>
    <w:r w:rsidR="003B65F6">
      <w:t xml:space="preserve"> </w:t>
    </w:r>
    <w:r w:rsidR="003B65F6" w:rsidRPr="002F7CB3">
      <w:rPr>
        <w:lang w:val="en-US"/>
      </w:rPr>
      <w:tab/>
    </w:r>
    <w:r>
      <w:fldChar w:fldCharType="begin"/>
    </w:r>
    <w:r w:rsidR="003B65F6">
      <w:instrText xml:space="preserve"> savedate \@ dd.MM.yy </w:instrText>
    </w:r>
    <w:r>
      <w:fldChar w:fldCharType="separate"/>
    </w:r>
    <w:r w:rsidR="00EF14D9">
      <w:t>29.11.17</w:t>
    </w:r>
    <w:r>
      <w:fldChar w:fldCharType="end"/>
    </w:r>
    <w:r w:rsidR="003B65F6" w:rsidRPr="002F7CB3">
      <w:rPr>
        <w:lang w:val="en-US"/>
      </w:rPr>
      <w:tab/>
    </w:r>
    <w:r>
      <w:fldChar w:fldCharType="begin"/>
    </w:r>
    <w:r w:rsidR="003B65F6">
      <w:instrText xml:space="preserve"> printdate \@ dd.MM.yy </w:instrText>
    </w:r>
    <w:r>
      <w:fldChar w:fldCharType="separate"/>
    </w:r>
    <w:r w:rsidR="003B65F6">
      <w:t>07.07.17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F6" w:rsidRPr="00B46794" w:rsidRDefault="005D1752" w:rsidP="00B46794">
    <w:pPr>
      <w:pStyle w:val="Footer"/>
    </w:pPr>
    <w:fldSimple w:instr=" FILENAME \p \* MERGEFORMAT ">
      <w:r w:rsidR="003B65F6" w:rsidRPr="008E7B9A">
        <w:rPr>
          <w:lang w:val="en-US"/>
        </w:rPr>
        <w:t>M</w:t>
      </w:r>
      <w:r w:rsidR="003B65F6">
        <w:t>:\BRSGD\TEXT2017\SG01\WP1A\200\208\208N01e.docx</w:t>
      </w:r>
    </w:fldSimple>
    <w:r w:rsidR="003B65F6">
      <w:t xml:space="preserve"> </w:t>
    </w:r>
    <w:r w:rsidR="003B65F6" w:rsidRPr="002F7CB3">
      <w:rPr>
        <w:lang w:val="en-US"/>
      </w:rPr>
      <w:tab/>
    </w:r>
    <w:r>
      <w:fldChar w:fldCharType="begin"/>
    </w:r>
    <w:r w:rsidR="003B65F6">
      <w:instrText xml:space="preserve"> savedate \@ dd.MM.yy </w:instrText>
    </w:r>
    <w:r>
      <w:fldChar w:fldCharType="separate"/>
    </w:r>
    <w:r w:rsidR="00EF14D9">
      <w:t>29.11.17</w:t>
    </w:r>
    <w:r>
      <w:fldChar w:fldCharType="end"/>
    </w:r>
    <w:r w:rsidR="003B65F6" w:rsidRPr="002F7CB3">
      <w:rPr>
        <w:lang w:val="en-US"/>
      </w:rPr>
      <w:tab/>
    </w:r>
    <w:r>
      <w:fldChar w:fldCharType="begin"/>
    </w:r>
    <w:r w:rsidR="003B65F6">
      <w:instrText xml:space="preserve"> printdate \@ dd.MM.yy </w:instrText>
    </w:r>
    <w:r>
      <w:fldChar w:fldCharType="separate"/>
    </w:r>
    <w:r w:rsidR="003B65F6">
      <w:t>07.07.17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5F6" w:rsidRDefault="003B65F6">
      <w:r>
        <w:t>____________________</w:t>
      </w:r>
    </w:p>
  </w:footnote>
  <w:footnote w:type="continuationSeparator" w:id="0">
    <w:p w:rsidR="003B65F6" w:rsidRDefault="003B65F6">
      <w:r>
        <w:continuationSeparator/>
      </w:r>
    </w:p>
  </w:footnote>
  <w:footnote w:id="1">
    <w:p w:rsidR="003B65F6" w:rsidRPr="00737E6C" w:rsidRDefault="003B65F6" w:rsidP="002021A5">
      <w:pPr>
        <w:pStyle w:val="FootnoteText"/>
        <w:rPr>
          <w:szCs w:val="16"/>
          <w:lang w:val="en-US"/>
        </w:rPr>
      </w:pPr>
      <w:r>
        <w:rPr>
          <w:rStyle w:val="FootnoteReference"/>
        </w:rPr>
        <w:t>1</w:t>
      </w:r>
      <w:r>
        <w:tab/>
      </w:r>
      <w:r w:rsidRPr="00737E6C">
        <w:t xml:space="preserve">WP 3J, WP 3K </w:t>
      </w:r>
      <w:r w:rsidRPr="002021A5">
        <w:t>and</w:t>
      </w:r>
      <w:r w:rsidRPr="00737E6C">
        <w:t xml:space="preserve"> WP 3M will undertake studies </w:t>
      </w:r>
      <w:r w:rsidRPr="00737E6C">
        <w:rPr>
          <w:lang w:val="en-US"/>
        </w:rPr>
        <w:t xml:space="preserve">with respect to the </w:t>
      </w:r>
      <w:r w:rsidRPr="00737E6C">
        <w:rPr>
          <w:i/>
          <w:lang w:val="en-US"/>
        </w:rPr>
        <w:t xml:space="preserve">invite ITU-R 3 </w:t>
      </w:r>
      <w:r w:rsidRPr="00737E6C">
        <w:rPr>
          <w:lang w:val="en-US"/>
        </w:rPr>
        <w:t>and</w:t>
      </w:r>
      <w:r w:rsidRPr="00737E6C">
        <w:rPr>
          <w:i/>
          <w:lang w:val="en-US"/>
        </w:rPr>
        <w:t xml:space="preserve"> </w:t>
      </w:r>
      <w:r w:rsidRPr="00737E6C">
        <w:rPr>
          <w:lang w:val="en-US"/>
        </w:rPr>
        <w:t>submit the initial results to WP 1A by November 2016 and final results of the studies before June 2017.</w:t>
      </w:r>
    </w:p>
  </w:footnote>
  <w:footnote w:id="2">
    <w:p w:rsidR="003B65F6" w:rsidRPr="00737E6C" w:rsidRDefault="003B65F6" w:rsidP="002021A5">
      <w:pPr>
        <w:pStyle w:val="FootnoteText"/>
        <w:rPr>
          <w:sz w:val="22"/>
          <w:szCs w:val="18"/>
          <w:lang w:val="en-US"/>
        </w:rPr>
      </w:pPr>
      <w:r>
        <w:rPr>
          <w:rStyle w:val="FootnoteReference"/>
        </w:rPr>
        <w:t>2</w:t>
      </w:r>
      <w:r>
        <w:tab/>
      </w:r>
      <w:r w:rsidRPr="00737E6C">
        <w:t xml:space="preserve">WP 5A and WP 5C will undertake studies with respect to the </w:t>
      </w:r>
      <w:r w:rsidRPr="00737E6C">
        <w:rPr>
          <w:i/>
          <w:iCs/>
        </w:rPr>
        <w:t>invite ITU-R 1</w:t>
      </w:r>
      <w:r w:rsidRPr="00737E6C">
        <w:t xml:space="preserve"> and </w:t>
      </w:r>
      <w:r w:rsidRPr="00737E6C">
        <w:rPr>
          <w:i/>
          <w:iCs/>
        </w:rPr>
        <w:t>2</w:t>
      </w:r>
      <w:r w:rsidRPr="00737E6C">
        <w:t xml:space="preserve"> for applications in the land-mobile and fixed services and submit the initial results to WP 1A by November 2016 and final results of the studies before June</w:t>
      </w:r>
      <w:r>
        <w:t> </w:t>
      </w:r>
      <w:r w:rsidRPr="00737E6C">
        <w:t>2017.</w:t>
      </w:r>
    </w:p>
  </w:footnote>
  <w:footnote w:id="3">
    <w:p w:rsidR="003B65F6" w:rsidRPr="00B0447A" w:rsidRDefault="003B65F6" w:rsidP="002021A5">
      <w:pPr>
        <w:pStyle w:val="FootnoteText"/>
        <w:rPr>
          <w:lang w:val="en-US"/>
        </w:rPr>
      </w:pPr>
      <w:r>
        <w:rPr>
          <w:rStyle w:val="FootnoteReference"/>
        </w:rPr>
        <w:t>3</w:t>
      </w:r>
      <w:r>
        <w:tab/>
      </w:r>
      <w:r w:rsidRPr="00737E6C">
        <w:t xml:space="preserve">WP 7C and WP 7D will </w:t>
      </w:r>
      <w:proofErr w:type="gramStart"/>
      <w:r w:rsidRPr="00737E6C">
        <w:t>developed</w:t>
      </w:r>
      <w:proofErr w:type="gramEnd"/>
      <w:r w:rsidRPr="00737E6C">
        <w:t xml:space="preserve"> technical and operational characteristics of passive systems and submit the initial information with this regar</w:t>
      </w:r>
      <w:bookmarkStart w:id="8" w:name="_GoBack"/>
      <w:bookmarkEnd w:id="8"/>
      <w:r w:rsidRPr="00737E6C">
        <w:t>ds to WP</w:t>
      </w:r>
      <w:r>
        <w:t> </w:t>
      </w:r>
      <w:r w:rsidRPr="00737E6C">
        <w:t>1A by November 2016 and final information before June 2017.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5F6" w:rsidRDefault="003B65F6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5D175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D1752">
      <w:rPr>
        <w:rStyle w:val="PageNumber"/>
      </w:rPr>
      <w:fldChar w:fldCharType="separate"/>
    </w:r>
    <w:r w:rsidR="00EF14D9">
      <w:rPr>
        <w:rStyle w:val="PageNumber"/>
        <w:noProof/>
      </w:rPr>
      <w:t>4</w:t>
    </w:r>
    <w:r w:rsidR="005D1752">
      <w:rPr>
        <w:rStyle w:val="PageNumber"/>
      </w:rPr>
      <w:fldChar w:fldCharType="end"/>
    </w:r>
    <w:r>
      <w:rPr>
        <w:rStyle w:val="PageNumber"/>
      </w:rPr>
      <w:t xml:space="preserve"> -</w:t>
    </w:r>
  </w:p>
  <w:p w:rsidR="003B65F6" w:rsidRDefault="003B65F6" w:rsidP="00E90DBE">
    <w:pPr>
      <w:pStyle w:val="Header"/>
      <w:rPr>
        <w:lang w:val="en-US"/>
      </w:rPr>
    </w:pPr>
    <w:r>
      <w:rPr>
        <w:lang w:val="en-US"/>
      </w:rPr>
      <w:t>1A/208 (Annex 1)-E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173"/>
    <w:multiLevelType w:val="hybridMultilevel"/>
    <w:tmpl w:val="2B907F4A"/>
    <w:lvl w:ilvl="0" w:tplc="2326C0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MxMTQyMjc2MjYwNTZQ0lEKTi0uzszPAykwrAUAQ8XAwiwAAAA="/>
  </w:docVars>
  <w:rsids>
    <w:rsidRoot w:val="001D3C46"/>
    <w:rsid w:val="000069D4"/>
    <w:rsid w:val="00010657"/>
    <w:rsid w:val="000174AD"/>
    <w:rsid w:val="00047A1D"/>
    <w:rsid w:val="00053E68"/>
    <w:rsid w:val="000604B9"/>
    <w:rsid w:val="00065BBD"/>
    <w:rsid w:val="000A7D55"/>
    <w:rsid w:val="000C12C8"/>
    <w:rsid w:val="000C2E8E"/>
    <w:rsid w:val="000E0E7C"/>
    <w:rsid w:val="000E622D"/>
    <w:rsid w:val="000F1B4B"/>
    <w:rsid w:val="00111BFC"/>
    <w:rsid w:val="0012744F"/>
    <w:rsid w:val="00131178"/>
    <w:rsid w:val="00147ADF"/>
    <w:rsid w:val="00156F66"/>
    <w:rsid w:val="00163271"/>
    <w:rsid w:val="00182528"/>
    <w:rsid w:val="0018500B"/>
    <w:rsid w:val="00196A19"/>
    <w:rsid w:val="001C72ED"/>
    <w:rsid w:val="001D3C46"/>
    <w:rsid w:val="002021A5"/>
    <w:rsid w:val="00202DC1"/>
    <w:rsid w:val="002116EE"/>
    <w:rsid w:val="002309D8"/>
    <w:rsid w:val="00261972"/>
    <w:rsid w:val="002A0F7A"/>
    <w:rsid w:val="002A2E26"/>
    <w:rsid w:val="002A7FE2"/>
    <w:rsid w:val="002E1B4F"/>
    <w:rsid w:val="002F2CB3"/>
    <w:rsid w:val="002F2E67"/>
    <w:rsid w:val="002F7CB3"/>
    <w:rsid w:val="0030664B"/>
    <w:rsid w:val="00315546"/>
    <w:rsid w:val="00330567"/>
    <w:rsid w:val="0037777D"/>
    <w:rsid w:val="00386A9D"/>
    <w:rsid w:val="00391081"/>
    <w:rsid w:val="003B2789"/>
    <w:rsid w:val="003B65F6"/>
    <w:rsid w:val="003C13CE"/>
    <w:rsid w:val="003E2518"/>
    <w:rsid w:val="003E7CEF"/>
    <w:rsid w:val="00437029"/>
    <w:rsid w:val="00445B04"/>
    <w:rsid w:val="00492A7B"/>
    <w:rsid w:val="004B1EF7"/>
    <w:rsid w:val="004B3FAD"/>
    <w:rsid w:val="004B623B"/>
    <w:rsid w:val="004C5749"/>
    <w:rsid w:val="00501DCA"/>
    <w:rsid w:val="00513A47"/>
    <w:rsid w:val="005408DF"/>
    <w:rsid w:val="00573344"/>
    <w:rsid w:val="00583F9B"/>
    <w:rsid w:val="00597079"/>
    <w:rsid w:val="005D1752"/>
    <w:rsid w:val="005E5C10"/>
    <w:rsid w:val="005F2C78"/>
    <w:rsid w:val="005F4F89"/>
    <w:rsid w:val="0060048C"/>
    <w:rsid w:val="006144E4"/>
    <w:rsid w:val="006262A3"/>
    <w:rsid w:val="00636CAB"/>
    <w:rsid w:val="00642DC5"/>
    <w:rsid w:val="00650299"/>
    <w:rsid w:val="00655FC5"/>
    <w:rsid w:val="006675B9"/>
    <w:rsid w:val="00680467"/>
    <w:rsid w:val="0068513D"/>
    <w:rsid w:val="00693590"/>
    <w:rsid w:val="00736780"/>
    <w:rsid w:val="007F4CF4"/>
    <w:rsid w:val="00801C6F"/>
    <w:rsid w:val="00814E0A"/>
    <w:rsid w:val="00822581"/>
    <w:rsid w:val="008309DD"/>
    <w:rsid w:val="0083227A"/>
    <w:rsid w:val="00866900"/>
    <w:rsid w:val="008732FD"/>
    <w:rsid w:val="00876A8A"/>
    <w:rsid w:val="00881BA1"/>
    <w:rsid w:val="008B46A2"/>
    <w:rsid w:val="008C26B8"/>
    <w:rsid w:val="008D6220"/>
    <w:rsid w:val="008E7B9A"/>
    <w:rsid w:val="008F208F"/>
    <w:rsid w:val="008F2939"/>
    <w:rsid w:val="0096581E"/>
    <w:rsid w:val="009750C4"/>
    <w:rsid w:val="00982084"/>
    <w:rsid w:val="00995963"/>
    <w:rsid w:val="009B61EB"/>
    <w:rsid w:val="009C2064"/>
    <w:rsid w:val="009C302B"/>
    <w:rsid w:val="009D1697"/>
    <w:rsid w:val="009F3A46"/>
    <w:rsid w:val="009F6520"/>
    <w:rsid w:val="00A014F8"/>
    <w:rsid w:val="00A40FA0"/>
    <w:rsid w:val="00A5173C"/>
    <w:rsid w:val="00A61AEF"/>
    <w:rsid w:val="00AD2345"/>
    <w:rsid w:val="00AD7446"/>
    <w:rsid w:val="00AF173A"/>
    <w:rsid w:val="00B023A2"/>
    <w:rsid w:val="00B066A4"/>
    <w:rsid w:val="00B07A13"/>
    <w:rsid w:val="00B265F8"/>
    <w:rsid w:val="00B36991"/>
    <w:rsid w:val="00B4279B"/>
    <w:rsid w:val="00B45FC9"/>
    <w:rsid w:val="00B46794"/>
    <w:rsid w:val="00B76F35"/>
    <w:rsid w:val="00B81138"/>
    <w:rsid w:val="00B83F81"/>
    <w:rsid w:val="00BC7CCF"/>
    <w:rsid w:val="00BE470B"/>
    <w:rsid w:val="00C17124"/>
    <w:rsid w:val="00C57A91"/>
    <w:rsid w:val="00C63B07"/>
    <w:rsid w:val="00CB016A"/>
    <w:rsid w:val="00CC01C2"/>
    <w:rsid w:val="00CF21F2"/>
    <w:rsid w:val="00D02712"/>
    <w:rsid w:val="00D046A7"/>
    <w:rsid w:val="00D214D0"/>
    <w:rsid w:val="00D6546B"/>
    <w:rsid w:val="00D849B7"/>
    <w:rsid w:val="00DB178B"/>
    <w:rsid w:val="00DB1B31"/>
    <w:rsid w:val="00DC17D3"/>
    <w:rsid w:val="00DD0814"/>
    <w:rsid w:val="00DD4BED"/>
    <w:rsid w:val="00DE39F0"/>
    <w:rsid w:val="00DF0AF3"/>
    <w:rsid w:val="00DF7E9F"/>
    <w:rsid w:val="00E27D7E"/>
    <w:rsid w:val="00E42E13"/>
    <w:rsid w:val="00E51535"/>
    <w:rsid w:val="00E56D5C"/>
    <w:rsid w:val="00E6257C"/>
    <w:rsid w:val="00E63C59"/>
    <w:rsid w:val="00E90DBE"/>
    <w:rsid w:val="00EF14D9"/>
    <w:rsid w:val="00F20FAB"/>
    <w:rsid w:val="00F25662"/>
    <w:rsid w:val="00F8128E"/>
    <w:rsid w:val="00F901C8"/>
    <w:rsid w:val="00FA124A"/>
    <w:rsid w:val="00FC08DD"/>
    <w:rsid w:val="00FC2316"/>
    <w:rsid w:val="00FC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link w:val="ArttitleCar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8F208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uiPriority w:val="99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147ADF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147ADF"/>
    <w:rPr>
      <w:rFonts w:ascii="Times New Roman" w:hAnsi="Times New Roman"/>
      <w:b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147ADF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437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F2939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2939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href">
    <w:name w:val="href"/>
    <w:basedOn w:val="DefaultParagraphFont"/>
    <w:rsid w:val="0037777D"/>
  </w:style>
  <w:style w:type="character" w:customStyle="1" w:styleId="ArttitleCar">
    <w:name w:val="Art_title Car"/>
    <w:basedOn w:val="DefaultParagraphFont"/>
    <w:link w:val="Arttitle"/>
    <w:rsid w:val="0037777D"/>
    <w:rPr>
      <w:rFonts w:ascii="Times New Roman" w:hAnsi="Times New Roman"/>
      <w:b/>
      <w:sz w:val="28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37777D"/>
    <w:rPr>
      <w:rFonts w:ascii="Times New Roman Bold" w:hAnsi="Times New Roman Bold" w:cs="Times New Roman Bold"/>
      <w:b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37777D"/>
    <w:rPr>
      <w:rFonts w:ascii="Times New Roman Bold" w:hAnsi="Times New Roman Bold"/>
      <w:b/>
      <w:lang w:val="en-GB" w:eastAsia="en-US"/>
    </w:rPr>
  </w:style>
  <w:style w:type="paragraph" w:styleId="NormalWeb">
    <w:name w:val="Normal (Web)"/>
    <w:basedOn w:val="Normal"/>
    <w:uiPriority w:val="99"/>
    <w:unhideWhenUsed/>
    <w:rsid w:val="0026197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BookTitle">
    <w:name w:val="Book Title"/>
    <w:basedOn w:val="DefaultParagraphFont"/>
    <w:uiPriority w:val="33"/>
    <w:qFormat/>
    <w:rsid w:val="00261972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0048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both"/>
      <w:textAlignment w:val="auto"/>
    </w:pPr>
    <w:rPr>
      <w:snapToGrid w:val="0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dms_pub/itu-r/oth/0c/0a/R0C0A00000C0016PDF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A53B71480AE42AE678B59F40B15DC" ma:contentTypeVersion="1" ma:contentTypeDescription="Create a new document." ma:contentTypeScope="" ma:versionID="ffb4f938d2bba66141a06cdf09d6f005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256a109c578fe0901469f77075d675b5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28B2019-EF37-418D-8CD0-B729B042D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45361-AEE5-4650-A273-0ECCDE2346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6a61cb-1973-4fc6-92ae-f4d7a44714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AC19E1-5C7E-4923-B8F0-70D20122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DB060-2F43-4733-9108-93343D2A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1480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 towards Preliminary Draft CPM Text on WRC-19 AI 1.15</vt:lpstr>
    </vt:vector>
  </TitlesOfParts>
  <Company>ITU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 towards Preliminary Draft CPM Text on WRC-19 AI 1.15</dc:title>
  <dc:creator>ITU</dc:creator>
  <cp:lastModifiedBy>thirapiroon.t</cp:lastModifiedBy>
  <cp:revision>2</cp:revision>
  <cp:lastPrinted>2017-07-07T14:28:00Z</cp:lastPrinted>
  <dcterms:created xsi:type="dcterms:W3CDTF">2017-12-07T09:13:00Z</dcterms:created>
  <dcterms:modified xsi:type="dcterms:W3CDTF">2017-12-07T09:13:00Z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0x010100011A53B71480AE42AE678B59F40B15DC</vt:lpwstr>
  </property>
</Properties>
</file>