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19" w:type="dxa"/>
        <w:tblBorders>
          <w:bottom w:val="single" w:sz="12" w:space="0" w:color="auto"/>
        </w:tblBorders>
        <w:tblLayout w:type="fixed"/>
        <w:tblCellMar>
          <w:left w:w="99" w:type="dxa"/>
          <w:right w:w="99" w:type="dxa"/>
        </w:tblCellMar>
        <w:tblLook w:val="0000" w:firstRow="0" w:lastRow="0" w:firstColumn="0" w:lastColumn="0" w:noHBand="0" w:noVBand="0"/>
      </w:tblPr>
      <w:tblGrid>
        <w:gridCol w:w="1399"/>
        <w:gridCol w:w="5720"/>
        <w:gridCol w:w="2700"/>
      </w:tblGrid>
      <w:tr w:rsidR="00CF3963" w:rsidRPr="00891D0B" w:rsidTr="007D7378">
        <w:trPr>
          <w:cantSplit/>
        </w:trPr>
        <w:tc>
          <w:tcPr>
            <w:tcW w:w="1399" w:type="dxa"/>
            <w:vMerge w:val="restart"/>
          </w:tcPr>
          <w:p w:rsidR="00CF3963" w:rsidRPr="00891D0B" w:rsidRDefault="00CF3963" w:rsidP="007D7378">
            <w:pPr>
              <w:pStyle w:val="Note"/>
              <w:widowControl w:val="0"/>
              <w:tabs>
                <w:tab w:val="clear" w:pos="284"/>
                <w:tab w:val="clear" w:pos="1134"/>
                <w:tab w:val="clear" w:pos="1871"/>
                <w:tab w:val="clear" w:pos="2268"/>
              </w:tabs>
              <w:wordWrap w:val="0"/>
              <w:spacing w:before="0"/>
              <w:rPr>
                <w:noProof w:val="0"/>
                <w:kern w:val="2"/>
                <w:sz w:val="24"/>
                <w:szCs w:val="24"/>
              </w:rPr>
            </w:pPr>
            <w:r>
              <w:rPr>
                <w:kern w:val="2"/>
                <w:sz w:val="24"/>
                <w:szCs w:val="24"/>
                <w:lang w:eastAsia="en-US"/>
              </w:rPr>
              <w:drawing>
                <wp:inline distT="0" distB="0" distL="0" distR="0">
                  <wp:extent cx="762000" cy="714375"/>
                  <wp:effectExtent l="0" t="0" r="0" b="9525"/>
                  <wp:docPr id="1" name="Picture 1" descr="APTlogogre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Tlogogreen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tc>
        <w:tc>
          <w:tcPr>
            <w:tcW w:w="5720" w:type="dxa"/>
          </w:tcPr>
          <w:p w:rsidR="00CF3963" w:rsidRPr="00891D0B" w:rsidRDefault="00CF3963" w:rsidP="007D7378">
            <w:r w:rsidRPr="00096326">
              <w:t>ASIA-PACIFIC TELECOMMUNITY</w:t>
            </w:r>
          </w:p>
        </w:tc>
        <w:tc>
          <w:tcPr>
            <w:tcW w:w="2700" w:type="dxa"/>
          </w:tcPr>
          <w:p w:rsidR="00CF3963" w:rsidRPr="00096326" w:rsidRDefault="00CF3963" w:rsidP="007D7378">
            <w:pPr>
              <w:rPr>
                <w:b/>
                <w:bCs/>
                <w:lang w:val="fr-FR"/>
              </w:rPr>
            </w:pPr>
            <w:r w:rsidRPr="00C15799">
              <w:rPr>
                <w:b/>
                <w:lang w:val="fr-FR"/>
              </w:rPr>
              <w:t>Document</w:t>
            </w:r>
            <w:r>
              <w:rPr>
                <w:b/>
                <w:lang w:val="fr-FR"/>
              </w:rPr>
              <w:t xml:space="preserve">: </w:t>
            </w:r>
          </w:p>
        </w:tc>
      </w:tr>
      <w:tr w:rsidR="00CF3963" w:rsidRPr="00C15799" w:rsidTr="007D7378">
        <w:trPr>
          <w:cantSplit/>
        </w:trPr>
        <w:tc>
          <w:tcPr>
            <w:tcW w:w="1399" w:type="dxa"/>
            <w:vMerge/>
          </w:tcPr>
          <w:p w:rsidR="00CF3963" w:rsidRPr="00891D0B" w:rsidRDefault="00CF3963" w:rsidP="007D7378"/>
        </w:tc>
        <w:tc>
          <w:tcPr>
            <w:tcW w:w="5720" w:type="dxa"/>
          </w:tcPr>
          <w:p w:rsidR="00CF3963" w:rsidRPr="00891D0B" w:rsidRDefault="00CF3963" w:rsidP="007D7378">
            <w:pPr>
              <w:spacing w:line="0" w:lineRule="atLeast"/>
            </w:pPr>
            <w:r>
              <w:rPr>
                <w:b/>
              </w:rPr>
              <w:t>The 2nd Meeting of the APT Conference Preparatory  Group for WRC-19 (APG19-2)</w:t>
            </w:r>
          </w:p>
        </w:tc>
        <w:tc>
          <w:tcPr>
            <w:tcW w:w="2700" w:type="dxa"/>
          </w:tcPr>
          <w:p w:rsidR="00CF3963" w:rsidRPr="00C15799" w:rsidRDefault="00CF3963" w:rsidP="00CE1934">
            <w:pPr>
              <w:rPr>
                <w:b/>
                <w:bCs/>
                <w:lang w:val="fr-FR"/>
              </w:rPr>
            </w:pPr>
            <w:r>
              <w:rPr>
                <w:b/>
                <w:bCs/>
                <w:lang w:val="fr-FR"/>
              </w:rPr>
              <w:t>APG19-2/</w:t>
            </w:r>
            <w:r w:rsidR="00CE1934">
              <w:rPr>
                <w:b/>
                <w:bCs/>
                <w:lang w:val="fr-FR"/>
              </w:rPr>
              <w:t>OUT-31</w:t>
            </w:r>
          </w:p>
        </w:tc>
      </w:tr>
      <w:tr w:rsidR="00CF3963" w:rsidRPr="00891D0B" w:rsidTr="007D7378">
        <w:trPr>
          <w:cantSplit/>
          <w:trHeight w:val="219"/>
        </w:trPr>
        <w:tc>
          <w:tcPr>
            <w:tcW w:w="1399" w:type="dxa"/>
            <w:vMerge/>
          </w:tcPr>
          <w:p w:rsidR="00CF3963" w:rsidRPr="00C15799" w:rsidRDefault="00CF3963" w:rsidP="007D7378">
            <w:pPr>
              <w:rPr>
                <w:lang w:val="fr-FR"/>
              </w:rPr>
            </w:pPr>
          </w:p>
        </w:tc>
        <w:tc>
          <w:tcPr>
            <w:tcW w:w="5720" w:type="dxa"/>
          </w:tcPr>
          <w:p w:rsidR="00CF3963" w:rsidRPr="00891D0B" w:rsidRDefault="00CF3963" w:rsidP="007D7378">
            <w:r>
              <w:t>17 – 21 July 2017</w:t>
            </w:r>
            <w:r w:rsidRPr="00891D0B">
              <w:t xml:space="preserve">, </w:t>
            </w:r>
            <w:r>
              <w:t>Bali, Republic of Indonesia</w:t>
            </w:r>
          </w:p>
        </w:tc>
        <w:tc>
          <w:tcPr>
            <w:tcW w:w="2700" w:type="dxa"/>
          </w:tcPr>
          <w:p w:rsidR="00CF3963" w:rsidRPr="00712451" w:rsidRDefault="00CE1934" w:rsidP="007D7378">
            <w:pPr>
              <w:rPr>
                <w:b/>
              </w:rPr>
            </w:pPr>
            <w:r>
              <w:rPr>
                <w:b/>
              </w:rPr>
              <w:t xml:space="preserve">21 </w:t>
            </w:r>
            <w:r w:rsidR="00CF3963">
              <w:rPr>
                <w:b/>
              </w:rPr>
              <w:t>July 2017</w:t>
            </w:r>
          </w:p>
        </w:tc>
      </w:tr>
    </w:tbl>
    <w:p w:rsidR="00D13D9D" w:rsidRPr="007673CA" w:rsidRDefault="00D13D9D" w:rsidP="00DA7595">
      <w:pPr>
        <w:rPr>
          <w:lang w:val="en-NZ" w:eastAsia="ko-KR"/>
        </w:rPr>
      </w:pPr>
    </w:p>
    <w:p w:rsidR="00BB67B0" w:rsidRPr="002F48DF" w:rsidRDefault="00BB67B0" w:rsidP="00B64A60">
      <w:pPr>
        <w:jc w:val="center"/>
        <w:rPr>
          <w:lang w:val="en-NZ" w:eastAsia="ko-KR"/>
        </w:rPr>
      </w:pPr>
    </w:p>
    <w:p w:rsidR="00B64A60" w:rsidRPr="00140025" w:rsidRDefault="00E444F4" w:rsidP="007C0F4A">
      <w:pPr>
        <w:spacing w:after="120"/>
        <w:jc w:val="center"/>
        <w:rPr>
          <w:lang w:val="en-NZ" w:eastAsia="ko-KR"/>
        </w:rPr>
      </w:pPr>
      <w:r w:rsidRPr="00140025">
        <w:rPr>
          <w:lang w:eastAsia="ko-KR"/>
        </w:rPr>
        <w:t>Working Party 1</w:t>
      </w:r>
    </w:p>
    <w:p w:rsidR="00B64A60" w:rsidRPr="00311E8A" w:rsidRDefault="00B64A60" w:rsidP="00B64A60">
      <w:pPr>
        <w:jc w:val="center"/>
        <w:rPr>
          <w:b/>
          <w:bCs/>
          <w:caps/>
          <w:lang w:val="en-NZ"/>
        </w:rPr>
      </w:pPr>
      <w:r w:rsidRPr="00311E8A">
        <w:rPr>
          <w:b/>
          <w:bCs/>
          <w:caps/>
          <w:lang w:val="en-NZ"/>
        </w:rPr>
        <w:t>PRELIMINARY VIEWs on WRC-19 agenda item 1.</w:t>
      </w:r>
      <w:r w:rsidR="004E33DC">
        <w:rPr>
          <w:b/>
          <w:bCs/>
          <w:caps/>
          <w:lang w:val="en-NZ"/>
        </w:rPr>
        <w:t>12</w:t>
      </w:r>
    </w:p>
    <w:p w:rsidR="00B64A60" w:rsidRDefault="00B64A60" w:rsidP="00B64A60">
      <w:pPr>
        <w:rPr>
          <w:lang w:val="en-NZ"/>
        </w:rPr>
      </w:pPr>
    </w:p>
    <w:p w:rsidR="007C0F4A" w:rsidRDefault="007C0F4A" w:rsidP="00B64A60">
      <w:pPr>
        <w:jc w:val="both"/>
        <w:rPr>
          <w:b/>
          <w:lang w:val="en-NZ"/>
        </w:rPr>
      </w:pPr>
    </w:p>
    <w:p w:rsidR="00B64A60" w:rsidRPr="00710333" w:rsidRDefault="00B64A60" w:rsidP="00B64A60">
      <w:pPr>
        <w:jc w:val="both"/>
        <w:rPr>
          <w:lang w:val="en-NZ"/>
        </w:rPr>
      </w:pPr>
      <w:r w:rsidRPr="00710333">
        <w:rPr>
          <w:b/>
          <w:lang w:val="en-NZ"/>
        </w:rPr>
        <w:t>Agenda Item 1.</w:t>
      </w:r>
      <w:r w:rsidR="004E33DC">
        <w:rPr>
          <w:b/>
          <w:lang w:val="en-NZ"/>
        </w:rPr>
        <w:t>12</w:t>
      </w:r>
      <w:r w:rsidRPr="00710333">
        <w:rPr>
          <w:b/>
          <w:lang w:val="en-NZ"/>
        </w:rPr>
        <w:t xml:space="preserve">: </w:t>
      </w:r>
    </w:p>
    <w:p w:rsidR="00FD1A60" w:rsidRDefault="00FD1A60" w:rsidP="00B64A60">
      <w:pPr>
        <w:jc w:val="both"/>
        <w:rPr>
          <w:i/>
          <w:lang w:val="en-NZ"/>
        </w:rPr>
      </w:pPr>
      <w:r w:rsidRPr="00FD1A60">
        <w:rPr>
          <w:i/>
          <w:lang w:val="en-NZ"/>
        </w:rPr>
        <w:t xml:space="preserve">to consider possible global or regional harmonized frequency bands, to the maximum extent possible, for the implementation of evolving Intelligent Transport Systems (ITS) under existing mobile-service allocations, in accordance with Resolution </w:t>
      </w:r>
      <w:r w:rsidRPr="002715FD">
        <w:rPr>
          <w:b/>
          <w:bCs/>
          <w:i/>
          <w:lang w:val="en-NZ"/>
        </w:rPr>
        <w:t>237 (WRC-15)</w:t>
      </w:r>
      <w:r w:rsidRPr="00FD1A60">
        <w:rPr>
          <w:i/>
          <w:lang w:val="en-NZ"/>
        </w:rPr>
        <w:t>;</w:t>
      </w:r>
    </w:p>
    <w:p w:rsidR="00B64A60" w:rsidRPr="00710333" w:rsidRDefault="00B64A60" w:rsidP="00B64A60">
      <w:pPr>
        <w:jc w:val="both"/>
        <w:rPr>
          <w:lang w:val="en-NZ"/>
        </w:rPr>
      </w:pPr>
    </w:p>
    <w:p w:rsidR="00B64A60" w:rsidRPr="00710333" w:rsidRDefault="00B64A60" w:rsidP="00F63759">
      <w:pPr>
        <w:jc w:val="both"/>
        <w:rPr>
          <w:b/>
          <w:lang w:val="en-NZ" w:eastAsia="ko-KR"/>
        </w:rPr>
      </w:pPr>
      <w:r w:rsidRPr="00710333">
        <w:rPr>
          <w:b/>
          <w:lang w:val="en-NZ" w:eastAsia="ko-KR"/>
        </w:rPr>
        <w:t xml:space="preserve">1. </w:t>
      </w:r>
      <w:r>
        <w:rPr>
          <w:b/>
          <w:lang w:val="en-NZ" w:eastAsia="ko-KR"/>
        </w:rPr>
        <w:tab/>
      </w:r>
      <w:r w:rsidRPr="00710333">
        <w:rPr>
          <w:b/>
          <w:lang w:val="en-NZ" w:eastAsia="ko-KR"/>
        </w:rPr>
        <w:t>Background</w:t>
      </w:r>
    </w:p>
    <w:p w:rsidR="00FD4064" w:rsidRDefault="00FD4064" w:rsidP="001A3F82">
      <w:pPr>
        <w:ind w:left="708"/>
        <w:rPr>
          <w:highlight w:val="yellow"/>
          <w:lang w:val="en-NZ"/>
        </w:rPr>
      </w:pPr>
    </w:p>
    <w:p w:rsidR="00265DA3" w:rsidRPr="00265DA3" w:rsidRDefault="000F32F0" w:rsidP="00AA07A4">
      <w:pPr>
        <w:rPr>
          <w:lang w:val="en-NZ"/>
        </w:rPr>
      </w:pPr>
      <w:r w:rsidRPr="000F32F0">
        <w:rPr>
          <w:b/>
          <w:bCs/>
          <w:iCs/>
          <w:lang w:val="en-NZ"/>
        </w:rPr>
        <w:t>Resolution 237 (WRC-15)</w:t>
      </w:r>
      <w:r w:rsidRPr="000F32F0">
        <w:rPr>
          <w:iCs/>
          <w:lang w:val="en-NZ"/>
        </w:rPr>
        <w:t xml:space="preserve"> “</w:t>
      </w:r>
      <w:r w:rsidRPr="000F32F0">
        <w:rPr>
          <w:lang w:val="en-NZ"/>
        </w:rPr>
        <w:t>Intelligent Transport Systems applications”</w:t>
      </w:r>
    </w:p>
    <w:p w:rsidR="00265DA3" w:rsidRPr="001A3F82" w:rsidRDefault="00265DA3" w:rsidP="001A3F82">
      <w:pPr>
        <w:spacing w:before="120"/>
        <w:rPr>
          <w:i/>
          <w:iCs/>
          <w:lang w:val="en-NZ"/>
        </w:rPr>
      </w:pPr>
      <w:r>
        <w:rPr>
          <w:lang w:val="en-NZ"/>
        </w:rPr>
        <w:tab/>
      </w:r>
      <w:proofErr w:type="gramStart"/>
      <w:r w:rsidRPr="001A3F82">
        <w:rPr>
          <w:i/>
          <w:iCs/>
          <w:lang w:val="en-NZ"/>
        </w:rPr>
        <w:t>resolves</w:t>
      </w:r>
      <w:proofErr w:type="gramEnd"/>
      <w:r w:rsidRPr="001A3F82">
        <w:rPr>
          <w:i/>
          <w:iCs/>
          <w:lang w:val="en-NZ"/>
        </w:rPr>
        <w:t xml:space="preserve"> to invite the 2019 World Radiocommunication Conference </w:t>
      </w:r>
    </w:p>
    <w:p w:rsidR="00265DA3" w:rsidRPr="00265DA3" w:rsidRDefault="00265DA3" w:rsidP="00AA07A4">
      <w:pPr>
        <w:spacing w:before="120"/>
        <w:jc w:val="both"/>
        <w:rPr>
          <w:lang w:val="en-NZ"/>
        </w:rPr>
      </w:pPr>
      <w:r w:rsidRPr="00265DA3">
        <w:rPr>
          <w:lang w:val="en-NZ"/>
        </w:rPr>
        <w:tab/>
        <w:t xml:space="preserve">taking into account the results of ITU Radiocommunication Sector (ITU-R) studies, to consider possible global or regional harmonized frequency bands for the implementation of evolving ITS under existing mobile-service allocations, </w:t>
      </w:r>
    </w:p>
    <w:p w:rsidR="00A240D9" w:rsidRDefault="00A240D9" w:rsidP="00AA07A4">
      <w:pPr>
        <w:jc w:val="both"/>
        <w:rPr>
          <w:highlight w:val="yellow"/>
          <w:lang w:val="en-NZ"/>
        </w:rPr>
      </w:pPr>
    </w:p>
    <w:p w:rsidR="00BA021C" w:rsidRDefault="00BA021C" w:rsidP="00AA07A4">
      <w:pPr>
        <w:jc w:val="both"/>
      </w:pPr>
      <w:r w:rsidRPr="00C9284F">
        <w:rPr>
          <w:rFonts w:eastAsia="SimSun"/>
          <w:lang w:eastAsia="zh-CN"/>
        </w:rPr>
        <w:t xml:space="preserve">As the responsible group of WRC-19 </w:t>
      </w:r>
      <w:bookmarkStart w:id="0" w:name="OLE_LINK58"/>
      <w:bookmarkStart w:id="1" w:name="OLE_LINK54"/>
      <w:bookmarkStart w:id="2" w:name="OLE_LINK53"/>
      <w:r w:rsidRPr="00C9284F">
        <w:rPr>
          <w:rFonts w:eastAsia="SimSun"/>
          <w:lang w:eastAsia="zh-CN"/>
        </w:rPr>
        <w:t xml:space="preserve">Agenda item </w:t>
      </w:r>
      <w:bookmarkEnd w:id="0"/>
      <w:bookmarkEnd w:id="1"/>
      <w:bookmarkEnd w:id="2"/>
      <w:r w:rsidRPr="00C9284F">
        <w:rPr>
          <w:rFonts w:eastAsia="SimSun"/>
          <w:lang w:eastAsia="zh-CN"/>
        </w:rPr>
        <w:t>1.12 in ITU-R, Working Party 5A (WP5A</w:t>
      </w:r>
      <w:proofErr w:type="gramStart"/>
      <w:r w:rsidRPr="00C9284F">
        <w:rPr>
          <w:rFonts w:eastAsia="SimSun"/>
          <w:lang w:eastAsia="zh-CN"/>
        </w:rPr>
        <w:t>)  developed</w:t>
      </w:r>
      <w:proofErr w:type="gramEnd"/>
      <w:r w:rsidRPr="00C9284F">
        <w:rPr>
          <w:rFonts w:eastAsia="SimSun"/>
          <w:lang w:eastAsia="zh-CN"/>
        </w:rPr>
        <w:t xml:space="preserve"> a w</w:t>
      </w:r>
      <w:r w:rsidRPr="00C9284F">
        <w:rPr>
          <w:rFonts w:eastAsia="Times New Roman"/>
          <w:bCs/>
          <w:lang w:eastAsia="zh-CN"/>
        </w:rPr>
        <w:t>orking document towards draft CPM text for this agenda item</w:t>
      </w:r>
      <w:r w:rsidRPr="00C9284F">
        <w:rPr>
          <w:rFonts w:eastAsia="SimSun"/>
          <w:lang w:eastAsia="zh-CN"/>
        </w:rPr>
        <w:t xml:space="preserve">. </w:t>
      </w:r>
      <w:r w:rsidRPr="00C9284F">
        <w:t>WP 5A has also developed a working document towards a preliminary draft new Report ITU-R M</w:t>
      </w:r>
      <w:proofErr w:type="gramStart"/>
      <w:r w:rsidRPr="00C9284F">
        <w:t>.[</w:t>
      </w:r>
      <w:proofErr w:type="gramEnd"/>
      <w:r w:rsidRPr="00C9284F">
        <w:t xml:space="preserve">ITS USAGE]  covering overall ITS usage and a working document towards a preliminary draft new Recommendation ITU-R M.[ITS_FRQ] dealing with harmonized frequency arrangements. </w:t>
      </w:r>
      <w:r w:rsidRPr="00C9284F">
        <w:rPr>
          <w:noProof/>
        </w:rPr>
        <w:t>In addition</w:t>
      </w:r>
      <w:r w:rsidRPr="00C9284F">
        <w:t xml:space="preserve">, Asia-Pacific Telecommunity (APT) </w:t>
      </w:r>
      <w:r w:rsidR="00AE7890">
        <w:t>is</w:t>
      </w:r>
      <w:r w:rsidR="00AE7890" w:rsidRPr="00C9284F">
        <w:t xml:space="preserve"> develop</w:t>
      </w:r>
      <w:r w:rsidR="00AE7890">
        <w:t xml:space="preserve">ing a </w:t>
      </w:r>
      <w:r w:rsidR="00AE7890">
        <w:rPr>
          <w:rFonts w:eastAsia="SimSun"/>
          <w:lang w:eastAsia="zh-CN"/>
        </w:rPr>
        <w:t>w</w:t>
      </w:r>
      <w:r w:rsidR="00AE7890" w:rsidRPr="000F32F0">
        <w:rPr>
          <w:rFonts w:eastAsia="SimSun"/>
          <w:lang w:eastAsia="zh-CN"/>
        </w:rPr>
        <w:t xml:space="preserve">orking document towards a preliminary draft revision of APT Report on </w:t>
      </w:r>
      <w:r w:rsidR="00AE7890" w:rsidRPr="000F32F0">
        <w:t>“The Usage of ITS in APT countries” (APT REPORT#18 (REV.2))</w:t>
      </w:r>
      <w:r w:rsidR="00AE7890">
        <w:t>.</w:t>
      </w:r>
    </w:p>
    <w:p w:rsidR="00646CED" w:rsidRDefault="00646CED" w:rsidP="00646CED">
      <w:pPr>
        <w:rPr>
          <w:b/>
          <w:bCs/>
          <w:color w:val="FF0000"/>
          <w:lang w:val="en-NZ"/>
        </w:rPr>
      </w:pPr>
    </w:p>
    <w:p w:rsidR="00BA021C" w:rsidRPr="000F32F0" w:rsidRDefault="000F32F0" w:rsidP="00AA07A4">
      <w:pPr>
        <w:jc w:val="both"/>
        <w:rPr>
          <w:lang w:val="en-NZ"/>
        </w:rPr>
      </w:pPr>
      <w:r w:rsidRPr="000F32F0">
        <w:rPr>
          <w:lang w:val="en-NZ"/>
        </w:rPr>
        <w:t>R</w:t>
      </w:r>
      <w:r w:rsidR="00BA021C" w:rsidRPr="000F32F0">
        <w:rPr>
          <w:lang w:val="en-NZ"/>
        </w:rPr>
        <w:t>elevant ITU-R Reports/Recommendations, APT Reports/Recommendations and ongoing studies</w:t>
      </w:r>
      <w:r w:rsidRPr="000F32F0">
        <w:rPr>
          <w:lang w:val="en-NZ"/>
        </w:rPr>
        <w:t xml:space="preserve"> are as follows:</w:t>
      </w:r>
    </w:p>
    <w:p w:rsidR="00BA021C" w:rsidRPr="00C9284F" w:rsidRDefault="00BA021C">
      <w:pPr>
        <w:pStyle w:val="enumlev1"/>
        <w:numPr>
          <w:ilvl w:val="0"/>
          <w:numId w:val="23"/>
        </w:numPr>
        <w:tabs>
          <w:tab w:val="clear" w:pos="1134"/>
          <w:tab w:val="left" w:pos="426"/>
        </w:tabs>
        <w:ind w:left="426" w:hanging="426"/>
        <w:jc w:val="both"/>
        <w:rPr>
          <w:rFonts w:eastAsia="MS Gothic"/>
          <w:szCs w:val="24"/>
          <w:lang w:val="en-US"/>
        </w:rPr>
      </w:pPr>
      <w:r w:rsidRPr="00C9284F">
        <w:rPr>
          <w:szCs w:val="24"/>
          <w:lang w:val="en-US" w:eastAsia="ja-JP"/>
        </w:rPr>
        <w:t>Recommendation ITU-R M.1890, “</w:t>
      </w:r>
      <w:r w:rsidRPr="00C9284F">
        <w:rPr>
          <w:rFonts w:eastAsia="MS Gothic"/>
          <w:szCs w:val="24"/>
          <w:lang w:val="en-US"/>
        </w:rPr>
        <w:t>Intelligent Transport Systems – Guidelines and Objectives”, 2011</w:t>
      </w:r>
    </w:p>
    <w:p w:rsidR="00BA021C" w:rsidRPr="00C9284F" w:rsidRDefault="00BA021C">
      <w:pPr>
        <w:pStyle w:val="enumlev1"/>
        <w:numPr>
          <w:ilvl w:val="0"/>
          <w:numId w:val="23"/>
        </w:numPr>
        <w:tabs>
          <w:tab w:val="clear" w:pos="1134"/>
          <w:tab w:val="left" w:pos="426"/>
        </w:tabs>
        <w:ind w:left="426" w:hanging="426"/>
        <w:jc w:val="both"/>
        <w:rPr>
          <w:szCs w:val="24"/>
          <w:lang w:val="en-US" w:eastAsia="ja-JP"/>
        </w:rPr>
      </w:pPr>
      <w:r w:rsidRPr="00C9284F">
        <w:rPr>
          <w:szCs w:val="24"/>
          <w:lang w:val="en-US" w:eastAsia="ja-JP"/>
        </w:rPr>
        <w:t xml:space="preserve">Recommendation ITU-R </w:t>
      </w:r>
      <w:r w:rsidRPr="00C9284F">
        <w:rPr>
          <w:rFonts w:eastAsia="MS Gothic"/>
          <w:szCs w:val="24"/>
          <w:lang w:val="en-US"/>
        </w:rPr>
        <w:t>M.1453-2,</w:t>
      </w:r>
      <w:r w:rsidRPr="00C9284F">
        <w:rPr>
          <w:szCs w:val="24"/>
          <w:lang w:val="en-US" w:eastAsia="ja-JP"/>
        </w:rPr>
        <w:t xml:space="preserve"> “</w:t>
      </w:r>
      <w:r w:rsidRPr="00C9284F">
        <w:rPr>
          <w:rFonts w:eastAsia="MS Gothic"/>
          <w:szCs w:val="24"/>
          <w:lang w:val="en-US"/>
        </w:rPr>
        <w:t>Intelligent Transport Systems – Dedicated Short Range Communications at 5.8 GHz”, 2005.</w:t>
      </w:r>
    </w:p>
    <w:p w:rsidR="00BA021C" w:rsidRPr="00C9284F" w:rsidRDefault="00BA021C">
      <w:pPr>
        <w:pStyle w:val="enumlev1"/>
        <w:numPr>
          <w:ilvl w:val="0"/>
          <w:numId w:val="23"/>
        </w:numPr>
        <w:tabs>
          <w:tab w:val="clear" w:pos="1134"/>
          <w:tab w:val="left" w:pos="426"/>
        </w:tabs>
        <w:ind w:left="426" w:hanging="426"/>
        <w:jc w:val="both"/>
        <w:rPr>
          <w:szCs w:val="24"/>
          <w:lang w:val="en-US" w:eastAsia="ja-JP"/>
        </w:rPr>
      </w:pPr>
      <w:r w:rsidRPr="00C9284F">
        <w:rPr>
          <w:szCs w:val="24"/>
          <w:lang w:val="en-US" w:eastAsia="ja-JP"/>
        </w:rPr>
        <w:t xml:space="preserve">Recommendation ITU-R </w:t>
      </w:r>
      <w:r w:rsidRPr="00C9284F">
        <w:rPr>
          <w:rFonts w:eastAsia="MS Gothic"/>
          <w:szCs w:val="24"/>
          <w:lang w:val="en-US"/>
        </w:rPr>
        <w:t>M.1452-2,</w:t>
      </w:r>
      <w:r w:rsidRPr="00C9284F">
        <w:rPr>
          <w:szCs w:val="24"/>
          <w:lang w:val="en-US" w:eastAsia="ja-JP"/>
        </w:rPr>
        <w:t xml:space="preserve"> “</w:t>
      </w:r>
      <w:proofErr w:type="spellStart"/>
      <w:r w:rsidRPr="00C9284F">
        <w:rPr>
          <w:rFonts w:eastAsia="MS Gothic"/>
          <w:szCs w:val="24"/>
          <w:lang w:val="en-US"/>
        </w:rPr>
        <w:t>Millimetr</w:t>
      </w:r>
      <w:r w:rsidRPr="00C9284F">
        <w:rPr>
          <w:rFonts w:eastAsia="MS Gothic"/>
          <w:szCs w:val="24"/>
          <w:lang w:val="en-US" w:eastAsia="ja-JP"/>
        </w:rPr>
        <w:t>e</w:t>
      </w:r>
      <w:proofErr w:type="spellEnd"/>
      <w:r w:rsidRPr="00C9284F">
        <w:rPr>
          <w:rFonts w:eastAsia="MS Gothic"/>
          <w:szCs w:val="24"/>
          <w:lang w:val="en-US"/>
        </w:rPr>
        <w:t xml:space="preserve"> wave radiocommunication systems for ITS applications”, </w:t>
      </w:r>
      <w:r w:rsidRPr="00C9284F">
        <w:rPr>
          <w:rFonts w:eastAsia="MS Gothic"/>
          <w:szCs w:val="24"/>
        </w:rPr>
        <w:t>2012.</w:t>
      </w:r>
      <w:r w:rsidRPr="00C9284F">
        <w:rPr>
          <w:szCs w:val="24"/>
          <w:lang w:eastAsia="ja-JP"/>
        </w:rPr>
        <w:tab/>
      </w:r>
    </w:p>
    <w:p w:rsidR="00BA021C" w:rsidRPr="00C9284F" w:rsidRDefault="00BA021C">
      <w:pPr>
        <w:pStyle w:val="enumlev1"/>
        <w:numPr>
          <w:ilvl w:val="0"/>
          <w:numId w:val="23"/>
        </w:numPr>
        <w:tabs>
          <w:tab w:val="clear" w:pos="1134"/>
          <w:tab w:val="left" w:pos="426"/>
        </w:tabs>
        <w:ind w:left="426" w:hanging="426"/>
        <w:jc w:val="both"/>
        <w:rPr>
          <w:szCs w:val="24"/>
          <w:lang w:val="en-US" w:eastAsia="ja-JP"/>
        </w:rPr>
      </w:pPr>
      <w:r w:rsidRPr="00C9284F">
        <w:rPr>
          <w:szCs w:val="24"/>
          <w:lang w:val="en-US" w:eastAsia="ja-JP"/>
        </w:rPr>
        <w:t xml:space="preserve">Report ITU-R </w:t>
      </w:r>
      <w:r w:rsidRPr="00C9284F">
        <w:rPr>
          <w:rFonts w:eastAsia="MS Gothic"/>
          <w:szCs w:val="24"/>
          <w:lang w:val="en-US"/>
        </w:rPr>
        <w:t xml:space="preserve">M.2228, </w:t>
      </w:r>
      <w:r w:rsidRPr="00C9284F">
        <w:rPr>
          <w:szCs w:val="24"/>
          <w:lang w:val="en-US" w:eastAsia="ja-JP"/>
        </w:rPr>
        <w:t>“</w:t>
      </w:r>
      <w:r w:rsidRPr="00C9284F">
        <w:rPr>
          <w:rFonts w:eastAsia="MS Gothic"/>
          <w:szCs w:val="24"/>
          <w:lang w:val="en-US"/>
        </w:rPr>
        <w:t>Advanced Intelligent Transport Systems (ITS</w:t>
      </w:r>
      <w:proofErr w:type="gramStart"/>
      <w:r w:rsidRPr="00C9284F">
        <w:rPr>
          <w:rFonts w:eastAsia="MS Gothic"/>
          <w:szCs w:val="24"/>
          <w:lang w:val="en-US"/>
        </w:rPr>
        <w:t>)</w:t>
      </w:r>
      <w:proofErr w:type="spellStart"/>
      <w:r w:rsidRPr="00C9284F">
        <w:rPr>
          <w:rFonts w:eastAsia="MS Gothic"/>
          <w:szCs w:val="24"/>
          <w:lang w:val="en-US" w:eastAsia="ja-JP"/>
        </w:rPr>
        <w:t>r</w:t>
      </w:r>
      <w:r w:rsidRPr="00C9284F">
        <w:rPr>
          <w:rFonts w:eastAsia="MS Gothic"/>
          <w:szCs w:val="24"/>
          <w:lang w:val="en-US"/>
        </w:rPr>
        <w:t>adiocommunications</w:t>
      </w:r>
      <w:proofErr w:type="spellEnd"/>
      <w:proofErr w:type="gramEnd"/>
      <w:r w:rsidRPr="00C9284F">
        <w:rPr>
          <w:rFonts w:eastAsia="MS Gothic"/>
          <w:szCs w:val="24"/>
          <w:lang w:val="en-US"/>
        </w:rPr>
        <w:t>”, 2012.</w:t>
      </w:r>
    </w:p>
    <w:p w:rsidR="00BA021C" w:rsidRPr="00C9284F" w:rsidRDefault="00BA021C">
      <w:pPr>
        <w:pStyle w:val="enumlev1"/>
        <w:numPr>
          <w:ilvl w:val="0"/>
          <w:numId w:val="23"/>
        </w:numPr>
        <w:tabs>
          <w:tab w:val="clear" w:pos="1134"/>
          <w:tab w:val="left" w:pos="426"/>
        </w:tabs>
        <w:ind w:left="426" w:hanging="426"/>
        <w:jc w:val="both"/>
        <w:rPr>
          <w:szCs w:val="24"/>
          <w:lang w:eastAsia="ja-JP"/>
        </w:rPr>
      </w:pPr>
      <w:r w:rsidRPr="00C9284F">
        <w:rPr>
          <w:szCs w:val="24"/>
          <w:lang w:val="en-US" w:eastAsia="ja-JP"/>
        </w:rPr>
        <w:t xml:space="preserve">Recommendation ITU-R </w:t>
      </w:r>
      <w:r w:rsidRPr="00C9284F">
        <w:rPr>
          <w:rFonts w:eastAsia="MS Gothic"/>
          <w:bCs/>
          <w:iCs/>
          <w:szCs w:val="24"/>
          <w:lang w:val="en-US"/>
        </w:rPr>
        <w:t xml:space="preserve">M.2084, “Radio interface standards of </w:t>
      </w:r>
      <w:r w:rsidRPr="00C9284F">
        <w:rPr>
          <w:rFonts w:eastAsia="MS Gothic"/>
          <w:bCs/>
          <w:iCs/>
          <w:szCs w:val="24"/>
          <w:lang w:val="en-US" w:eastAsia="ja-JP"/>
        </w:rPr>
        <w:t>v</w:t>
      </w:r>
      <w:r w:rsidRPr="00C9284F">
        <w:rPr>
          <w:rFonts w:eastAsia="MS Gothic"/>
          <w:bCs/>
          <w:iCs/>
          <w:szCs w:val="24"/>
          <w:lang w:val="en-US"/>
        </w:rPr>
        <w:t xml:space="preserve">ehicle-to-vehicle and vehicle-to-infrastructure </w:t>
      </w:r>
      <w:r w:rsidRPr="00C9284F">
        <w:rPr>
          <w:rFonts w:eastAsia="MS Gothic"/>
          <w:bCs/>
          <w:iCs/>
          <w:szCs w:val="24"/>
          <w:lang w:val="en-US" w:eastAsia="ja-JP"/>
        </w:rPr>
        <w:t>c</w:t>
      </w:r>
      <w:r w:rsidRPr="00C9284F">
        <w:rPr>
          <w:rFonts w:eastAsia="MS Gothic"/>
          <w:bCs/>
          <w:iCs/>
          <w:szCs w:val="24"/>
          <w:lang w:val="en-US"/>
        </w:rPr>
        <w:t>ommunications for intelligent transport systems applications”</w:t>
      </w:r>
      <w:proofErr w:type="gramStart"/>
      <w:r w:rsidRPr="00C9284F">
        <w:rPr>
          <w:rFonts w:eastAsia="MS Gothic"/>
          <w:bCs/>
          <w:iCs/>
          <w:szCs w:val="24"/>
          <w:lang w:val="en-US"/>
        </w:rPr>
        <w:t>,2015</w:t>
      </w:r>
      <w:proofErr w:type="gramEnd"/>
      <w:r w:rsidRPr="00C9284F">
        <w:rPr>
          <w:rFonts w:eastAsia="MS Gothic"/>
          <w:bCs/>
          <w:iCs/>
          <w:szCs w:val="24"/>
          <w:lang w:val="en-US"/>
        </w:rPr>
        <w:t>.</w:t>
      </w:r>
    </w:p>
    <w:p w:rsidR="00BA021C" w:rsidRPr="000F32F0" w:rsidRDefault="0073081A" w:rsidP="00AA07A4">
      <w:pPr>
        <w:pStyle w:val="ListParagraph"/>
        <w:numPr>
          <w:ilvl w:val="0"/>
          <w:numId w:val="22"/>
        </w:numPr>
        <w:spacing w:after="200"/>
        <w:ind w:left="426" w:hanging="426"/>
        <w:contextualSpacing/>
        <w:jc w:val="both"/>
      </w:pPr>
      <w:r w:rsidRPr="000F32F0">
        <w:rPr>
          <w:rFonts w:eastAsia="SimSun"/>
          <w:lang w:eastAsia="zh-CN"/>
        </w:rPr>
        <w:t>W</w:t>
      </w:r>
      <w:r w:rsidR="00BA021C" w:rsidRPr="000F32F0">
        <w:rPr>
          <w:rFonts w:eastAsia="SimSun"/>
          <w:lang w:eastAsia="zh-CN"/>
        </w:rPr>
        <w:t>orking document towards a preliminary draft new Report ITU-R M.[ITS USAGE]</w:t>
      </w:r>
      <w:r w:rsidRPr="000F32F0">
        <w:rPr>
          <w:rFonts w:eastAsia="SimSun"/>
          <w:lang w:eastAsia="zh-CN"/>
        </w:rPr>
        <w:t>, “Intelligent transport systems (ITS) usage in ITU Member States”</w:t>
      </w:r>
    </w:p>
    <w:p w:rsidR="00D40C2C" w:rsidRPr="000F32F0" w:rsidRDefault="00D45E39" w:rsidP="00AA07A4">
      <w:pPr>
        <w:pStyle w:val="ListParagraph"/>
        <w:numPr>
          <w:ilvl w:val="0"/>
          <w:numId w:val="22"/>
        </w:numPr>
        <w:spacing w:after="200"/>
        <w:ind w:left="426" w:hanging="426"/>
        <w:contextualSpacing/>
        <w:jc w:val="both"/>
      </w:pPr>
      <w:r w:rsidRPr="000F32F0">
        <w:lastRenderedPageBreak/>
        <w:t>W</w:t>
      </w:r>
      <w:r w:rsidR="00BA021C" w:rsidRPr="000F32F0">
        <w:t>orking document towards a preliminary draft new Recommendation ITU-R M.[ITS_FRQ]</w:t>
      </w:r>
      <w:r w:rsidR="00D40C2C" w:rsidRPr="000F32F0">
        <w:t xml:space="preserve">, “Harmonization of frequency arrangements for Intelligent Transport Systems in the mobile service” </w:t>
      </w:r>
    </w:p>
    <w:p w:rsidR="00BA021C" w:rsidRPr="000F32F0" w:rsidRDefault="00533DD1" w:rsidP="00AA07A4">
      <w:pPr>
        <w:pStyle w:val="ListParagraph"/>
        <w:numPr>
          <w:ilvl w:val="0"/>
          <w:numId w:val="22"/>
        </w:numPr>
        <w:ind w:left="425" w:hanging="425"/>
        <w:contextualSpacing/>
        <w:jc w:val="both"/>
      </w:pPr>
      <w:r w:rsidRPr="000F32F0">
        <w:rPr>
          <w:rFonts w:eastAsia="SimSun"/>
          <w:lang w:eastAsia="zh-CN"/>
        </w:rPr>
        <w:t xml:space="preserve">Working document towards a preliminary draft revision of APT Report on </w:t>
      </w:r>
      <w:r w:rsidR="00BA021C" w:rsidRPr="000F32F0">
        <w:t xml:space="preserve">“The Usage of ITS in APT countries” </w:t>
      </w:r>
      <w:r w:rsidRPr="000F32F0">
        <w:t>(APT REPORT#18 (REV.2))</w:t>
      </w:r>
      <w:r w:rsidR="00BA021C" w:rsidRPr="000F32F0">
        <w:t>.</w:t>
      </w:r>
    </w:p>
    <w:p w:rsidR="00D5407A" w:rsidRPr="004A2F96" w:rsidRDefault="00D5407A" w:rsidP="00D5407A">
      <w:pPr>
        <w:ind w:left="348"/>
        <w:rPr>
          <w:i/>
          <w:lang w:val="en-NZ" w:eastAsia="ko-KR"/>
        </w:rPr>
      </w:pPr>
    </w:p>
    <w:p w:rsidR="00B64A60" w:rsidRPr="00710333" w:rsidRDefault="00B64A60" w:rsidP="00F63759">
      <w:pPr>
        <w:jc w:val="both"/>
        <w:rPr>
          <w:b/>
          <w:lang w:val="en-NZ" w:eastAsia="ko-KR"/>
        </w:rPr>
      </w:pPr>
      <w:r w:rsidRPr="00710333">
        <w:rPr>
          <w:b/>
          <w:lang w:val="en-NZ" w:eastAsia="ko-KR"/>
        </w:rPr>
        <w:t xml:space="preserve">2. </w:t>
      </w:r>
      <w:r>
        <w:rPr>
          <w:b/>
          <w:lang w:val="en-NZ" w:eastAsia="ko-KR"/>
        </w:rPr>
        <w:tab/>
      </w:r>
      <w:r w:rsidRPr="00710333">
        <w:rPr>
          <w:b/>
          <w:lang w:val="en-NZ" w:eastAsia="ko-KR"/>
        </w:rPr>
        <w:t>Documents</w:t>
      </w:r>
    </w:p>
    <w:p w:rsidR="00B64A60" w:rsidRPr="00424FF7" w:rsidRDefault="00B64A60" w:rsidP="00AA07A4">
      <w:pPr>
        <w:numPr>
          <w:ilvl w:val="0"/>
          <w:numId w:val="18"/>
        </w:numPr>
        <w:ind w:leftChars="145" w:left="708"/>
        <w:jc w:val="both"/>
        <w:rPr>
          <w:lang w:val="en-NZ"/>
        </w:rPr>
      </w:pPr>
      <w:r w:rsidRPr="00D764B3">
        <w:rPr>
          <w:lang w:val="en-NZ"/>
        </w:rPr>
        <w:t>Input Documents</w:t>
      </w:r>
      <w:r w:rsidR="00AE77A5">
        <w:rPr>
          <w:lang w:val="en-NZ"/>
        </w:rPr>
        <w:t>:</w:t>
      </w:r>
      <w:r w:rsidR="00CD12F7" w:rsidRPr="00CD12F7">
        <w:rPr>
          <w:lang w:val="en-NZ"/>
        </w:rPr>
        <w:t>APG19-2/INP-7 (AWG), APG19-2/INP-8 (KOR), APG19-2/INP-20 (NZL), APG19-2/INP-28 (AUS), APG19-2/INP-39 (INS), APG19-2/INP-49 (CHN), APG19-2/INP-55 (J), APG19-2/INP-68 (THA)</w:t>
      </w:r>
    </w:p>
    <w:p w:rsidR="00B64A60" w:rsidRPr="00A45247" w:rsidRDefault="00B64A60" w:rsidP="00AA07A4">
      <w:pPr>
        <w:numPr>
          <w:ilvl w:val="0"/>
          <w:numId w:val="18"/>
        </w:numPr>
        <w:ind w:leftChars="145" w:left="708"/>
        <w:jc w:val="both"/>
        <w:rPr>
          <w:lang w:val="en-NZ"/>
        </w:rPr>
      </w:pPr>
      <w:r w:rsidRPr="00A45247">
        <w:rPr>
          <w:lang w:val="en-NZ"/>
        </w:rPr>
        <w:t>Information Documents</w:t>
      </w:r>
      <w:r w:rsidR="00AE77A5">
        <w:rPr>
          <w:lang w:val="en-NZ"/>
        </w:rPr>
        <w:t>:</w:t>
      </w:r>
      <w:r w:rsidR="00A45247" w:rsidRPr="00A45247">
        <w:rPr>
          <w:lang w:val="en-NZ"/>
        </w:rPr>
        <w:t>APG19-2/INF-</w:t>
      </w:r>
      <w:r w:rsidR="00A45247" w:rsidRPr="00FD4064">
        <w:rPr>
          <w:lang w:val="en-NZ"/>
        </w:rPr>
        <w:t>1 (</w:t>
      </w:r>
      <w:r w:rsidR="00A45247" w:rsidRPr="00A45247">
        <w:rPr>
          <w:lang w:val="en-NZ"/>
        </w:rPr>
        <w:t>Chairman, APG-19), APG19-2/INF-2 (ICAO), APG19-2/INF-4 (CITEL), APG19-2/INF-5 (RCC), APG19-2/INF-6 (IARU), APG19-2/INF-7 (ATU), APG19-2/INF-14 (CEPT)</w:t>
      </w:r>
    </w:p>
    <w:p w:rsidR="00B64A60" w:rsidRPr="00710333" w:rsidRDefault="00B64A60" w:rsidP="00B64A60">
      <w:pPr>
        <w:jc w:val="both"/>
        <w:rPr>
          <w:lang w:val="en-NZ"/>
        </w:rPr>
      </w:pPr>
    </w:p>
    <w:p w:rsidR="00B64A60" w:rsidRDefault="00B64A60" w:rsidP="00B64A60">
      <w:pPr>
        <w:spacing w:after="120"/>
        <w:jc w:val="both"/>
        <w:rPr>
          <w:b/>
          <w:lang w:val="en-NZ" w:eastAsia="ko-KR"/>
        </w:rPr>
      </w:pPr>
      <w:r>
        <w:rPr>
          <w:b/>
          <w:lang w:val="en-NZ" w:eastAsia="ko-KR"/>
        </w:rPr>
        <w:t xml:space="preserve">3. </w:t>
      </w:r>
      <w:r>
        <w:rPr>
          <w:b/>
          <w:lang w:val="en-NZ" w:eastAsia="ko-KR"/>
        </w:rPr>
        <w:tab/>
        <w:t>Summary of Discussions</w:t>
      </w:r>
    </w:p>
    <w:p w:rsidR="004A2F96" w:rsidRDefault="004A2F96" w:rsidP="00B64A60">
      <w:pPr>
        <w:spacing w:after="120"/>
        <w:jc w:val="both"/>
        <w:rPr>
          <w:b/>
          <w:lang w:val="en-NZ" w:eastAsia="ko-KR"/>
        </w:rPr>
      </w:pPr>
      <w:r>
        <w:rPr>
          <w:b/>
          <w:lang w:val="en-NZ" w:eastAsia="ko-KR"/>
        </w:rPr>
        <w:t>3.1</w:t>
      </w:r>
      <w:r>
        <w:rPr>
          <w:b/>
          <w:lang w:val="en-NZ" w:eastAsia="ko-KR"/>
        </w:rPr>
        <w:tab/>
        <w:t>S</w:t>
      </w:r>
      <w:r>
        <w:rPr>
          <w:rFonts w:hint="eastAsia"/>
          <w:b/>
          <w:lang w:val="en-NZ" w:eastAsia="ko-KR"/>
        </w:rPr>
        <w:t xml:space="preserve">ummary </w:t>
      </w:r>
      <w:r>
        <w:rPr>
          <w:b/>
          <w:lang w:val="en-NZ" w:eastAsia="ko-KR"/>
        </w:rPr>
        <w:t>of Members’ view</w:t>
      </w:r>
    </w:p>
    <w:p w:rsidR="00AD5266" w:rsidRDefault="00AD5266" w:rsidP="00AA07A4">
      <w:pPr>
        <w:pStyle w:val="ListParagraph"/>
        <w:numPr>
          <w:ilvl w:val="0"/>
          <w:numId w:val="24"/>
        </w:numPr>
        <w:ind w:left="0" w:firstLine="0"/>
        <w:rPr>
          <w:b/>
          <w:bCs/>
          <w:lang w:val="en-NZ"/>
        </w:rPr>
      </w:pPr>
      <w:r w:rsidRPr="00AD5266">
        <w:rPr>
          <w:b/>
          <w:bCs/>
          <w:lang w:val="en-NZ"/>
        </w:rPr>
        <w:t>Republic of Korea</w:t>
      </w:r>
    </w:p>
    <w:p w:rsidR="00AD5266" w:rsidRPr="00AD5266" w:rsidRDefault="00AD5266" w:rsidP="00AD5266">
      <w:pPr>
        <w:pStyle w:val="ListParagraph"/>
        <w:rPr>
          <w:b/>
          <w:bCs/>
          <w:lang w:val="en-NZ"/>
        </w:rPr>
      </w:pPr>
    </w:p>
    <w:p w:rsidR="00AD5266" w:rsidRPr="00DC4AF5" w:rsidRDefault="00AD5266" w:rsidP="00AD5266">
      <w:pPr>
        <w:jc w:val="both"/>
        <w:rPr>
          <w:rFonts w:eastAsiaTheme="minorEastAsia"/>
          <w:color w:val="000000" w:themeColor="text1"/>
          <w:spacing w:val="-4"/>
        </w:rPr>
      </w:pPr>
      <w:r w:rsidRPr="00DC4AF5">
        <w:rPr>
          <w:rFonts w:eastAsiaTheme="minorEastAsia" w:hint="eastAsia"/>
          <w:color w:val="000000" w:themeColor="text1"/>
          <w:spacing w:val="-4"/>
        </w:rPr>
        <w:t xml:space="preserve">The Republic of Korea supports relevant ITU-R studies </w:t>
      </w:r>
      <w:r w:rsidRPr="00DC4AF5">
        <w:rPr>
          <w:rFonts w:eastAsiaTheme="minorEastAsia"/>
          <w:noProof/>
          <w:color w:val="000000" w:themeColor="text1"/>
          <w:spacing w:val="-4"/>
        </w:rPr>
        <w:t xml:space="preserve">in accordance </w:t>
      </w:r>
      <w:proofErr w:type="spellStart"/>
      <w:r w:rsidRPr="00DC4AF5">
        <w:rPr>
          <w:rFonts w:eastAsiaTheme="minorEastAsia"/>
          <w:noProof/>
          <w:color w:val="000000" w:themeColor="text1"/>
          <w:spacing w:val="-4"/>
        </w:rPr>
        <w:t>with</w:t>
      </w:r>
      <w:r w:rsidRPr="00DC4AF5">
        <w:rPr>
          <w:rFonts w:eastAsiaTheme="minorEastAsia" w:hint="eastAsia"/>
          <w:spacing w:val="-4"/>
        </w:rPr>
        <w:t>Resolution</w:t>
      </w:r>
      <w:proofErr w:type="spellEnd"/>
      <w:r w:rsidRPr="00DC4AF5">
        <w:rPr>
          <w:rFonts w:eastAsiaTheme="minorEastAsia" w:hint="eastAsia"/>
          <w:spacing w:val="-4"/>
        </w:rPr>
        <w:t xml:space="preserve"> </w:t>
      </w:r>
      <w:r w:rsidRPr="00DC4AF5">
        <w:rPr>
          <w:rFonts w:eastAsiaTheme="minorEastAsia"/>
          <w:b/>
          <w:spacing w:val="-4"/>
        </w:rPr>
        <w:t>237 (WRC-15)</w:t>
      </w:r>
      <w:r w:rsidRPr="00DC4AF5">
        <w:rPr>
          <w:rFonts w:eastAsiaTheme="minorEastAsia"/>
          <w:color w:val="000000" w:themeColor="text1"/>
          <w:spacing w:val="-4"/>
        </w:rPr>
        <w:t xml:space="preserve"> and </w:t>
      </w:r>
      <w:r w:rsidRPr="00DC4AF5">
        <w:rPr>
          <w:rFonts w:eastAsiaTheme="minorEastAsia" w:hint="eastAsia"/>
          <w:color w:val="000000" w:themeColor="text1"/>
          <w:spacing w:val="-4"/>
        </w:rPr>
        <w:t xml:space="preserve">the frequency </w:t>
      </w:r>
      <w:r w:rsidRPr="00DC4AF5">
        <w:rPr>
          <w:rFonts w:eastAsiaTheme="minorEastAsia"/>
          <w:color w:val="000000" w:themeColor="text1"/>
          <w:spacing w:val="-4"/>
        </w:rPr>
        <w:t>band</w:t>
      </w:r>
      <w:r w:rsidRPr="00DC4AF5">
        <w:rPr>
          <w:rFonts w:eastAsiaTheme="minorEastAsia" w:hint="eastAsia"/>
          <w:color w:val="000000" w:themeColor="text1"/>
          <w:spacing w:val="-4"/>
        </w:rPr>
        <w:t xml:space="preserve"> 5 855-5 925 MHz as globally or regionally harmonized spectrum for evolving ITS applications.</w:t>
      </w:r>
    </w:p>
    <w:p w:rsidR="00AD5266" w:rsidRPr="00DC4AF5" w:rsidRDefault="00AD5266" w:rsidP="00AD5266"/>
    <w:p w:rsidR="00AD5266" w:rsidRPr="00DC4AF5" w:rsidRDefault="00AD5266" w:rsidP="00AA07A4">
      <w:pPr>
        <w:pStyle w:val="ListParagraph"/>
        <w:numPr>
          <w:ilvl w:val="0"/>
          <w:numId w:val="24"/>
        </w:numPr>
        <w:ind w:left="0" w:firstLine="0"/>
        <w:rPr>
          <w:b/>
          <w:bCs/>
          <w:lang w:val="en-NZ"/>
        </w:rPr>
      </w:pPr>
      <w:r w:rsidRPr="00DC4AF5">
        <w:rPr>
          <w:b/>
          <w:bCs/>
          <w:lang w:val="en-NZ"/>
        </w:rPr>
        <w:t>New Zealand</w:t>
      </w:r>
    </w:p>
    <w:p w:rsidR="00AD5266" w:rsidRPr="00DC4AF5" w:rsidRDefault="00AD5266" w:rsidP="00AD5266">
      <w:pPr>
        <w:jc w:val="both"/>
        <w:rPr>
          <w:lang w:val="en-NZ"/>
        </w:rPr>
      </w:pPr>
      <w:r w:rsidRPr="00DC4AF5">
        <w:rPr>
          <w:lang w:val="en-NZ"/>
        </w:rPr>
        <w:t xml:space="preserve">New Zealand supports the ITU-R studies undertaken in accordance with Resolution </w:t>
      </w:r>
      <w:r w:rsidRPr="00DC4AF5">
        <w:rPr>
          <w:b/>
          <w:lang w:val="en-NZ"/>
        </w:rPr>
        <w:t>237 (WRC-15)</w:t>
      </w:r>
      <w:r w:rsidRPr="00DC4AF5">
        <w:rPr>
          <w:lang w:val="en-NZ"/>
        </w:rPr>
        <w:t>, in order to harmonise frequency bands within existing mobile service allocations for the implementation of evolving Intelligent Transport Systems (ITS).</w:t>
      </w:r>
    </w:p>
    <w:p w:rsidR="00AD5266" w:rsidRPr="00DC4AF5" w:rsidRDefault="00AD5266" w:rsidP="00AD5266">
      <w:pPr>
        <w:jc w:val="both"/>
        <w:rPr>
          <w:lang w:val="en-NZ"/>
        </w:rPr>
      </w:pPr>
    </w:p>
    <w:p w:rsidR="00AD5266" w:rsidRPr="00DC4AF5" w:rsidRDefault="00AD5266" w:rsidP="00AD5266">
      <w:pPr>
        <w:jc w:val="both"/>
        <w:rPr>
          <w:b/>
          <w:bCs/>
          <w:lang w:val="en-NZ"/>
        </w:rPr>
      </w:pPr>
      <w:r w:rsidRPr="00DC4AF5">
        <w:rPr>
          <w:lang w:val="en-NZ"/>
        </w:rPr>
        <w:t>New Zealand is of the view that the new generation of Co-operative ITS should operate within those frequency bands that are already being adopted for ITS use on a regional (or sub-regional) basis within existing mobile service allocations, or an immediately adjacent frequency band that is also appropriate for such use.</w:t>
      </w:r>
    </w:p>
    <w:p w:rsidR="00400693" w:rsidRPr="00DC4AF5" w:rsidRDefault="00400693" w:rsidP="00400693">
      <w:pPr>
        <w:jc w:val="both"/>
        <w:rPr>
          <w:lang w:val="en-NZ"/>
        </w:rPr>
      </w:pPr>
      <w:r w:rsidRPr="00DC4AF5">
        <w:rPr>
          <w:lang w:val="en-NZ"/>
        </w:rPr>
        <w:t>New Zealand has made considerable arrangements to cease satellite uplink operation in the band 5 875-5 925 MHz, and that this spectrum is reserved for possible new usages pending government decision.</w:t>
      </w:r>
    </w:p>
    <w:p w:rsidR="00AD5266" w:rsidRPr="00DC4AF5" w:rsidRDefault="00AD5266" w:rsidP="00AD5266">
      <w:pPr>
        <w:rPr>
          <w:lang w:val="en-NZ"/>
        </w:rPr>
      </w:pPr>
    </w:p>
    <w:p w:rsidR="00AD5266" w:rsidRPr="00DC4AF5" w:rsidRDefault="00AD5266" w:rsidP="00AA07A4">
      <w:pPr>
        <w:pStyle w:val="ListParagraph"/>
        <w:numPr>
          <w:ilvl w:val="0"/>
          <w:numId w:val="24"/>
        </w:numPr>
        <w:ind w:left="0" w:firstLine="0"/>
        <w:rPr>
          <w:b/>
          <w:bCs/>
          <w:lang w:val="en-NZ"/>
        </w:rPr>
      </w:pPr>
      <w:r w:rsidRPr="00DC4AF5">
        <w:rPr>
          <w:b/>
          <w:bCs/>
          <w:lang w:val="en-NZ"/>
        </w:rPr>
        <w:t>Australia</w:t>
      </w:r>
    </w:p>
    <w:p w:rsidR="00AD5266" w:rsidRPr="00DC4AF5" w:rsidRDefault="00AD5266" w:rsidP="00AD5266">
      <w:pPr>
        <w:pStyle w:val="ListParagraph"/>
        <w:rPr>
          <w:b/>
          <w:bCs/>
          <w:lang w:val="en-NZ"/>
        </w:rPr>
      </w:pPr>
    </w:p>
    <w:p w:rsidR="00AD5266" w:rsidRPr="00DC4AF5" w:rsidRDefault="00AD5266" w:rsidP="00AA07A4">
      <w:pPr>
        <w:spacing w:after="100" w:afterAutospacing="1"/>
        <w:jc w:val="both"/>
      </w:pPr>
      <w:r w:rsidRPr="00DC4AF5">
        <w:t xml:space="preserve">Australia supports studies under Resolution </w:t>
      </w:r>
      <w:r w:rsidRPr="00DC4AF5">
        <w:rPr>
          <w:b/>
        </w:rPr>
        <w:t>237 (WRC-15)</w:t>
      </w:r>
      <w:r w:rsidRPr="00DC4AF5">
        <w:t xml:space="preserve"> toward possible </w:t>
      </w:r>
      <w:proofErr w:type="spellStart"/>
      <w:r w:rsidRPr="00DC4AF5">
        <w:t>harmonisation</w:t>
      </w:r>
      <w:proofErr w:type="spellEnd"/>
      <w:r w:rsidRPr="00DC4AF5">
        <w:t xml:space="preserve"> of frequency bands in existing mobile service allocations for the implementation of evolving Intelligent Transport Systems (ITS).  Australia is of the view that no change to the Radio Regulations is required to satisfy this agenda item, and that no new WRC Resolution addressing this matter is necessary.  Furthermore, spectrum </w:t>
      </w:r>
      <w:proofErr w:type="spellStart"/>
      <w:r w:rsidRPr="00DC4AF5">
        <w:t>harmonisation</w:t>
      </w:r>
      <w:proofErr w:type="spellEnd"/>
      <w:r w:rsidRPr="00DC4AF5">
        <w:t xml:space="preserve"> may be achieved by development of ITU-R Recommendations and supported by relevant new and/or revised ITU-R Reports.  </w:t>
      </w:r>
    </w:p>
    <w:p w:rsidR="00AD5266" w:rsidRPr="00DC4AF5" w:rsidRDefault="00AD5266" w:rsidP="00AA07A4">
      <w:pPr>
        <w:jc w:val="both"/>
      </w:pPr>
      <w:r w:rsidRPr="00DC4AF5">
        <w:t xml:space="preserve">Australia is also of the view that the ITU-R studies and any </w:t>
      </w:r>
      <w:proofErr w:type="spellStart"/>
      <w:r w:rsidRPr="00DC4AF5">
        <w:t>harmonised</w:t>
      </w:r>
      <w:proofErr w:type="spellEnd"/>
      <w:r w:rsidRPr="00DC4AF5">
        <w:t xml:space="preserve"> frequency bands for </w:t>
      </w:r>
      <w:proofErr w:type="gramStart"/>
      <w:r w:rsidRPr="00DC4AF5">
        <w:t>ITS</w:t>
      </w:r>
      <w:proofErr w:type="gramEnd"/>
      <w:r w:rsidRPr="00DC4AF5">
        <w:t xml:space="preserve"> should not be restricted to, nor exclude, any particular ITS technology.</w:t>
      </w:r>
    </w:p>
    <w:p w:rsidR="00AD5266" w:rsidRPr="00DC4AF5" w:rsidRDefault="00AD5266" w:rsidP="00AD5266"/>
    <w:p w:rsidR="00AD5266" w:rsidRPr="00DC4AF5" w:rsidRDefault="00AD5266" w:rsidP="00AA07A4">
      <w:pPr>
        <w:pStyle w:val="ListParagraph"/>
        <w:numPr>
          <w:ilvl w:val="0"/>
          <w:numId w:val="24"/>
        </w:numPr>
        <w:ind w:left="0" w:firstLine="0"/>
        <w:rPr>
          <w:b/>
          <w:bCs/>
          <w:lang w:val="en-NZ"/>
        </w:rPr>
      </w:pPr>
      <w:r w:rsidRPr="00DC4AF5">
        <w:rPr>
          <w:b/>
          <w:bCs/>
          <w:lang w:val="en-NZ"/>
        </w:rPr>
        <w:t>Indonesia</w:t>
      </w:r>
    </w:p>
    <w:p w:rsidR="00AD5266" w:rsidRPr="00DC4AF5" w:rsidRDefault="00AD5266" w:rsidP="00AD5266">
      <w:pPr>
        <w:pStyle w:val="ListParagraph"/>
        <w:rPr>
          <w:b/>
          <w:bCs/>
          <w:lang w:val="en-NZ"/>
        </w:rPr>
      </w:pPr>
    </w:p>
    <w:p w:rsidR="00AD5266" w:rsidRPr="00DC4AF5" w:rsidRDefault="00AD5266" w:rsidP="00AA07A4">
      <w:pPr>
        <w:jc w:val="both"/>
      </w:pPr>
      <w:r w:rsidRPr="00DC4AF5">
        <w:lastRenderedPageBreak/>
        <w:t>The identification of harmonized frequency bands for ITS does not preclude the use of these bands/frequencies by any application of the services to which they are allocated and does not establish priority in applying and using the Radio Regulations.</w:t>
      </w:r>
    </w:p>
    <w:p w:rsidR="00AD5266" w:rsidRPr="00DC4AF5" w:rsidRDefault="00AD5266" w:rsidP="00AD5266"/>
    <w:p w:rsidR="00AD5266" w:rsidRPr="00DC4AF5" w:rsidRDefault="00AD5266" w:rsidP="00AD5266">
      <w:pPr>
        <w:jc w:val="both"/>
        <w:rPr>
          <w:b/>
        </w:rPr>
      </w:pPr>
      <w:r w:rsidRPr="00DC4AF5">
        <w:t>Indonesia is of the view it is reasonable to harmonize frequency bands at global and/or regional levels within existing mobile service allocations to implement evolving Intelligent Transport Systems (ITS), including through the development of ITU-R Recommendation and/or ITU-R Report. The harmonized use of frequency bands by ITS within existing mobile service allocations shall not impose additional constraints on other primary services to which these frequency bands are already allocated and to minimize the potential interference to the existing mobile service applications/systems already identified/deployed in these frequency bands.</w:t>
      </w:r>
    </w:p>
    <w:p w:rsidR="00AD5266" w:rsidRPr="00DC4AF5" w:rsidRDefault="00AD5266" w:rsidP="00AD5266">
      <w:pPr>
        <w:rPr>
          <w:rFonts w:cstheme="minorBidi"/>
          <w:szCs w:val="30"/>
          <w:lang w:bidi="th-TH"/>
        </w:rPr>
      </w:pPr>
    </w:p>
    <w:p w:rsidR="00AD5266" w:rsidRPr="00DC4AF5" w:rsidRDefault="00AD5266" w:rsidP="00AA07A4">
      <w:pPr>
        <w:pStyle w:val="ListParagraph"/>
        <w:numPr>
          <w:ilvl w:val="0"/>
          <w:numId w:val="24"/>
        </w:numPr>
        <w:ind w:left="0" w:firstLine="0"/>
        <w:rPr>
          <w:b/>
          <w:bCs/>
          <w:lang w:val="en-NZ"/>
        </w:rPr>
      </w:pPr>
      <w:r w:rsidRPr="00DC4AF5">
        <w:rPr>
          <w:b/>
          <w:bCs/>
          <w:lang w:val="en-NZ"/>
        </w:rPr>
        <w:t>People's Republic of China</w:t>
      </w:r>
    </w:p>
    <w:p w:rsidR="00AD5266" w:rsidRPr="00DC4AF5" w:rsidRDefault="00AD5266" w:rsidP="00AD5266">
      <w:pPr>
        <w:jc w:val="both"/>
      </w:pPr>
    </w:p>
    <w:p w:rsidR="00AD5266" w:rsidRPr="00DC4AF5" w:rsidRDefault="00AD5266" w:rsidP="00AD5266">
      <w:pPr>
        <w:tabs>
          <w:tab w:val="center" w:pos="4658"/>
        </w:tabs>
        <w:jc w:val="both"/>
        <w:rPr>
          <w:lang w:eastAsia="zh-CN"/>
        </w:rPr>
      </w:pPr>
      <w:bookmarkStart w:id="3" w:name="OLE_LINK36"/>
      <w:bookmarkStart w:id="4" w:name="OLE_LINK37"/>
      <w:bookmarkStart w:id="5" w:name="OLE_LINK38"/>
      <w:r w:rsidRPr="00DC4AF5">
        <w:rPr>
          <w:lang w:eastAsia="zh-CN"/>
        </w:rPr>
        <w:t>China's preliminary views are as follows:</w:t>
      </w:r>
    </w:p>
    <w:p w:rsidR="00AD5266" w:rsidRPr="00DC4AF5" w:rsidRDefault="00AD5266">
      <w:pPr>
        <w:pStyle w:val="ListParagraph1"/>
        <w:numPr>
          <w:ilvl w:val="0"/>
          <w:numId w:val="25"/>
        </w:numPr>
        <w:spacing w:beforeLines="50" w:before="120" w:afterLines="50" w:after="120"/>
        <w:ind w:left="-120" w:firstLine="480"/>
        <w:jc w:val="both"/>
        <w:rPr>
          <w:lang w:eastAsia="zh-CN"/>
        </w:rPr>
      </w:pPr>
      <w:r w:rsidRPr="00DC4AF5">
        <w:rPr>
          <w:lang w:eastAsia="zh-CN"/>
        </w:rPr>
        <w:t xml:space="preserve">China </w:t>
      </w:r>
      <w:r w:rsidRPr="00DC4AF5">
        <w:rPr>
          <w:rFonts w:hint="eastAsia"/>
          <w:lang w:eastAsia="zh-CN"/>
        </w:rPr>
        <w:t>supports</w:t>
      </w:r>
      <w:r w:rsidRPr="00DC4AF5">
        <w:rPr>
          <w:lang w:eastAsia="zh-CN"/>
        </w:rPr>
        <w:t xml:space="preserve"> global or </w:t>
      </w:r>
      <w:bookmarkStart w:id="6" w:name="OLE_LINK73"/>
      <w:bookmarkStart w:id="7" w:name="OLE_LINK74"/>
      <w:r w:rsidRPr="00DC4AF5">
        <w:rPr>
          <w:lang w:eastAsia="zh-CN"/>
        </w:rPr>
        <w:t xml:space="preserve">regional </w:t>
      </w:r>
      <w:r w:rsidRPr="00DC4AF5">
        <w:rPr>
          <w:rFonts w:hint="eastAsia"/>
          <w:lang w:eastAsia="zh-CN"/>
        </w:rPr>
        <w:t xml:space="preserve">harmonization of </w:t>
      </w:r>
      <w:r w:rsidRPr="00DC4AF5">
        <w:rPr>
          <w:lang w:eastAsia="zh-CN"/>
        </w:rPr>
        <w:t>frequency</w:t>
      </w:r>
      <w:bookmarkEnd w:id="6"/>
      <w:bookmarkEnd w:id="7"/>
      <w:r w:rsidRPr="00DC4AF5">
        <w:rPr>
          <w:lang w:eastAsia="zh-CN"/>
        </w:rPr>
        <w:t xml:space="preserve"> bands for </w:t>
      </w:r>
      <w:r w:rsidRPr="00DC4AF5">
        <w:rPr>
          <w:iCs/>
        </w:rPr>
        <w:t>evolving</w:t>
      </w:r>
      <w:r w:rsidRPr="00DC4AF5">
        <w:rPr>
          <w:lang w:eastAsia="zh-CN"/>
        </w:rPr>
        <w:t xml:space="preserve"> Intelligent Transport Systems under WRC-19 </w:t>
      </w:r>
      <w:r w:rsidRPr="00DC4AF5">
        <w:rPr>
          <w:rFonts w:eastAsia="SimSun"/>
        </w:rPr>
        <w:t xml:space="preserve">Agenda item </w:t>
      </w:r>
      <w:r w:rsidRPr="00DC4AF5">
        <w:rPr>
          <w:lang w:eastAsia="zh-CN"/>
        </w:rPr>
        <w:t>1.12 framework</w:t>
      </w:r>
      <w:r w:rsidRPr="00DC4AF5">
        <w:rPr>
          <w:rFonts w:hint="eastAsia"/>
          <w:lang w:eastAsia="zh-CN"/>
        </w:rPr>
        <w:t>.</w:t>
      </w:r>
      <w:bookmarkEnd w:id="3"/>
      <w:bookmarkEnd w:id="4"/>
      <w:bookmarkEnd w:id="5"/>
    </w:p>
    <w:p w:rsidR="00AD5266" w:rsidRPr="00DC4AF5" w:rsidRDefault="00AD5266">
      <w:pPr>
        <w:pStyle w:val="ListParagraph1"/>
        <w:numPr>
          <w:ilvl w:val="0"/>
          <w:numId w:val="25"/>
        </w:numPr>
        <w:spacing w:beforeLines="50" w:before="120" w:afterLines="50" w:after="120"/>
        <w:ind w:left="-120" w:firstLine="480"/>
        <w:jc w:val="both"/>
        <w:rPr>
          <w:lang w:eastAsia="zh-CN"/>
        </w:rPr>
      </w:pPr>
      <w:r w:rsidRPr="00DC4AF5">
        <w:rPr>
          <w:lang w:eastAsia="zh-CN"/>
        </w:rPr>
        <w:t>For study of WRC-19 Agenda item 1.12, China supports taking LTE-V2X into account as one of the evolving ITS technologies.</w:t>
      </w:r>
    </w:p>
    <w:p w:rsidR="00AD5266" w:rsidRPr="00DC4AF5" w:rsidRDefault="00AD5266">
      <w:pPr>
        <w:pStyle w:val="ListParagraph1"/>
        <w:numPr>
          <w:ilvl w:val="0"/>
          <w:numId w:val="25"/>
        </w:numPr>
        <w:spacing w:beforeLines="50" w:before="120" w:afterLines="50" w:after="120"/>
        <w:ind w:left="-120" w:firstLine="480"/>
        <w:jc w:val="both"/>
        <w:rPr>
          <w:lang w:eastAsia="zh-CN"/>
        </w:rPr>
      </w:pPr>
      <w:r w:rsidRPr="00DC4AF5">
        <w:rPr>
          <w:lang w:eastAsia="zh-CN"/>
        </w:rPr>
        <w:t xml:space="preserve">China </w:t>
      </w:r>
      <w:r w:rsidRPr="00DC4AF5">
        <w:rPr>
          <w:rFonts w:hint="eastAsia"/>
          <w:lang w:eastAsia="zh-CN"/>
        </w:rPr>
        <w:t>supports</w:t>
      </w:r>
      <w:r w:rsidRPr="00DC4AF5">
        <w:rPr>
          <w:lang w:eastAsia="zh-CN"/>
        </w:rPr>
        <w:t xml:space="preserve"> global or regional harmonized frequency band for the evolving Intelligent Transport Systems within the frequency range of 5 850-5 925MHz.</w:t>
      </w:r>
    </w:p>
    <w:p w:rsidR="00AD5266" w:rsidRPr="00DC4AF5" w:rsidRDefault="00AD5266" w:rsidP="00AD5266">
      <w:pPr>
        <w:rPr>
          <w:rFonts w:cstheme="minorBidi"/>
          <w:szCs w:val="30"/>
          <w:lang w:bidi="th-TH"/>
        </w:rPr>
      </w:pPr>
    </w:p>
    <w:p w:rsidR="00AD5266" w:rsidRPr="00DC4AF5" w:rsidRDefault="00AD5266" w:rsidP="00AA07A4">
      <w:pPr>
        <w:pStyle w:val="ListParagraph"/>
        <w:numPr>
          <w:ilvl w:val="0"/>
          <w:numId w:val="24"/>
        </w:numPr>
        <w:ind w:left="0" w:firstLine="0"/>
        <w:rPr>
          <w:b/>
          <w:bCs/>
          <w:lang w:val="en-NZ"/>
        </w:rPr>
      </w:pPr>
      <w:r w:rsidRPr="00DC4AF5">
        <w:rPr>
          <w:b/>
          <w:bCs/>
          <w:lang w:val="en-NZ"/>
        </w:rPr>
        <w:t>Japan</w:t>
      </w:r>
    </w:p>
    <w:p w:rsidR="00AD5266" w:rsidRPr="00DC4AF5" w:rsidRDefault="00AD5266" w:rsidP="00AD5266">
      <w:pPr>
        <w:rPr>
          <w:rFonts w:cstheme="minorBidi"/>
          <w:szCs w:val="30"/>
          <w:lang w:bidi="th-TH"/>
        </w:rPr>
      </w:pPr>
    </w:p>
    <w:p w:rsidR="00AD5266" w:rsidRPr="00DC4AF5" w:rsidRDefault="00AD5266" w:rsidP="00AD5266">
      <w:pPr>
        <w:jc w:val="both"/>
        <w:rPr>
          <w:rFonts w:eastAsiaTheme="minorEastAsia"/>
          <w:lang w:eastAsia="ja-JP"/>
        </w:rPr>
      </w:pPr>
      <w:r w:rsidRPr="00DC4AF5">
        <w:rPr>
          <w:rFonts w:eastAsiaTheme="minorEastAsia"/>
          <w:lang w:eastAsia="ja-JP"/>
        </w:rPr>
        <w:t>Japan supports ongoing studies of technical and operational characteristics of ITS applications under existing mobile service allocations in AWG and</w:t>
      </w:r>
      <w:r w:rsidR="00021C3D">
        <w:rPr>
          <w:rFonts w:eastAsiaTheme="minorEastAsia" w:hint="eastAsia"/>
          <w:lang w:eastAsia="zh-CN"/>
        </w:rPr>
        <w:t xml:space="preserve"> </w:t>
      </w:r>
      <w:r w:rsidRPr="00DC4AF5">
        <w:rPr>
          <w:rFonts w:eastAsiaTheme="minorEastAsia"/>
          <w:lang w:eastAsia="ja-JP"/>
        </w:rPr>
        <w:t xml:space="preserve">ITU-R WP 5A for relevant recommendations and reports, and encouragement to members of APT to contribute to these studies. </w:t>
      </w:r>
    </w:p>
    <w:p w:rsidR="00AD5266" w:rsidRPr="00DC4AF5" w:rsidRDefault="00AD5266" w:rsidP="00AD5266">
      <w:pPr>
        <w:rPr>
          <w:rFonts w:cstheme="minorBidi"/>
          <w:szCs w:val="30"/>
          <w:lang w:bidi="th-TH"/>
        </w:rPr>
      </w:pPr>
    </w:p>
    <w:p w:rsidR="00AD5266" w:rsidRPr="00DC4AF5" w:rsidRDefault="00AD5266" w:rsidP="00AA07A4">
      <w:pPr>
        <w:pStyle w:val="ListParagraph"/>
        <w:numPr>
          <w:ilvl w:val="0"/>
          <w:numId w:val="24"/>
        </w:numPr>
        <w:ind w:left="0" w:firstLine="0"/>
        <w:rPr>
          <w:b/>
          <w:bCs/>
          <w:lang w:val="en-NZ"/>
        </w:rPr>
      </w:pPr>
      <w:r w:rsidRPr="00DC4AF5">
        <w:rPr>
          <w:b/>
          <w:bCs/>
          <w:lang w:val="en-NZ"/>
        </w:rPr>
        <w:t>Thailand</w:t>
      </w:r>
    </w:p>
    <w:p w:rsidR="00AD5266" w:rsidRPr="00DC4AF5" w:rsidRDefault="00AD5266" w:rsidP="00AD5266">
      <w:pPr>
        <w:jc w:val="both"/>
        <w:rPr>
          <w:b/>
        </w:rPr>
      </w:pPr>
    </w:p>
    <w:p w:rsidR="00AD5266" w:rsidRPr="00DC4AF5" w:rsidRDefault="00AD5266" w:rsidP="00AD5266">
      <w:pPr>
        <w:jc w:val="both"/>
      </w:pPr>
      <w:r w:rsidRPr="00DC4AF5">
        <w:t>Thailand supports studies currently undertaken by ITU-R Working Party 5Aon technical and operational aspects of evolving ITS implementation using existing allocations</w:t>
      </w:r>
      <w:r w:rsidR="00021C3D">
        <w:rPr>
          <w:rFonts w:eastAsiaTheme="minorEastAsia" w:hint="eastAsia"/>
          <w:lang w:eastAsia="zh-CN"/>
        </w:rPr>
        <w:t xml:space="preserve"> </w:t>
      </w:r>
      <w:r w:rsidRPr="00DC4AF5">
        <w:rPr>
          <w:rFonts w:cs="Angsana New"/>
          <w:bCs/>
          <w:szCs w:val="30"/>
          <w:lang w:bidi="th-TH"/>
        </w:rPr>
        <w:t xml:space="preserve">for </w:t>
      </w:r>
      <w:r w:rsidRPr="00DC4AF5">
        <w:t xml:space="preserve">mobile service. </w:t>
      </w:r>
    </w:p>
    <w:p w:rsidR="00AD5266" w:rsidRPr="00DC4AF5" w:rsidRDefault="00AD5266" w:rsidP="00AD5266"/>
    <w:p w:rsidR="00AD5266" w:rsidRPr="00DC4AF5" w:rsidRDefault="00AD5266" w:rsidP="00AD5266">
      <w:pPr>
        <w:jc w:val="both"/>
        <w:rPr>
          <w:lang w:eastAsia="ja-JP"/>
        </w:rPr>
      </w:pPr>
      <w:r w:rsidRPr="00DC4AF5">
        <w:t xml:space="preserve">Thailand is of the view that spectrum used by ITS safety-related applications should be protected from harmful interference because </w:t>
      </w:r>
      <w:r w:rsidRPr="00DC4AF5">
        <w:rPr>
          <w:lang w:eastAsia="zh-CN"/>
        </w:rPr>
        <w:t xml:space="preserve">the </w:t>
      </w:r>
      <w:r w:rsidRPr="00DC4AF5">
        <w:rPr>
          <w:lang w:eastAsia="ja-JP"/>
        </w:rPr>
        <w:t xml:space="preserve">next generation of ITS will be used for safe driving support system and automated driving system. </w:t>
      </w:r>
    </w:p>
    <w:p w:rsidR="00AD5266" w:rsidRPr="00DC4AF5" w:rsidRDefault="00AD5266" w:rsidP="00AD5266"/>
    <w:p w:rsidR="00AD5266" w:rsidRPr="00DC4AF5" w:rsidRDefault="00AD5266" w:rsidP="00AD5266">
      <w:pPr>
        <w:jc w:val="both"/>
      </w:pPr>
      <w:r w:rsidRPr="00DC4AF5">
        <w:t>As t</w:t>
      </w:r>
      <w:r w:rsidRPr="00DC4AF5">
        <w:rPr>
          <w:lang w:eastAsia="ja-JP"/>
        </w:rPr>
        <w:t>he mobile service bands used by ITS may also be utilized by other applications and services,</w:t>
      </w:r>
      <w:r w:rsidRPr="00DC4AF5">
        <w:t xml:space="preserve"> Thailand is of the view that further studies should also address technical conditions to facilitate coexistence between ITS and other applications/services. </w:t>
      </w:r>
    </w:p>
    <w:p w:rsidR="00AD5266" w:rsidRPr="00DC4AF5" w:rsidRDefault="00AD5266" w:rsidP="00AD5266"/>
    <w:p w:rsidR="00AD5266" w:rsidRDefault="00AD5266" w:rsidP="00AD5266">
      <w:pPr>
        <w:jc w:val="both"/>
        <w:rPr>
          <w:b/>
        </w:rPr>
      </w:pPr>
      <w:r w:rsidRPr="00DC4AF5">
        <w:t xml:space="preserve">In particular, the frequency band 5 855 – 5 925 MHz is being used for ITS application in several countries, while many APT Member countries also use Fixed Satellite Service (FSS) </w:t>
      </w:r>
      <w:r w:rsidRPr="00DC4AF5">
        <w:rPr>
          <w:lang w:eastAsia="ja-JP"/>
        </w:rPr>
        <w:t>in this band.</w:t>
      </w:r>
      <w:r w:rsidRPr="00DC4AF5">
        <w:t xml:space="preserve"> Thailand notes that ITU-R Working Party 4A submitted a Liaison Statement requesting ITU-R Working Party 5A to take account of the co-primary allocation of FSS in the band in the study under WRC-19 agenda item 1.12 and ITU-R Working Party 5A is </w:t>
      </w:r>
      <w:r w:rsidRPr="00DC4AF5">
        <w:rPr>
          <w:lang w:eastAsia="zh-CN"/>
        </w:rPr>
        <w:t>studying</w:t>
      </w:r>
      <w:r w:rsidRPr="00DC4AF5">
        <w:t xml:space="preserve"> best practice and experiences on the usage of the bands between ITS and other applications</w:t>
      </w:r>
      <w:r w:rsidRPr="00DC4AF5">
        <w:rPr>
          <w:b/>
          <w:lang w:eastAsia="zh-CN"/>
        </w:rPr>
        <w:t>/</w:t>
      </w:r>
      <w:r w:rsidRPr="00DC4AF5">
        <w:t xml:space="preserve">services as Section 7.5 of Working document toward a preliminary draft new Report ITU-R M.[ITS USAGE] (Annex 32 to ITU-R Working Party 5A Chairman’s Report). Thailand further encourages APT Member </w:t>
      </w:r>
      <w:r w:rsidRPr="00DC4AF5">
        <w:lastRenderedPageBreak/>
        <w:t xml:space="preserve">countries to submit contributions to ITU-R Working Party 5A addressing technical conditions to facilitate coexistence between ITS and other applications/services, particularly FSS, in the frequency band 5 855 – 5 925 </w:t>
      </w:r>
      <w:proofErr w:type="spellStart"/>
      <w:r w:rsidRPr="00DC4AF5">
        <w:t>MHz.</w:t>
      </w:r>
      <w:proofErr w:type="spellEnd"/>
    </w:p>
    <w:p w:rsidR="00197C18" w:rsidRDefault="00197C18" w:rsidP="00AA07A4">
      <w:pPr>
        <w:jc w:val="both"/>
        <w:rPr>
          <w:b/>
          <w:lang w:val="en-NZ"/>
        </w:rPr>
      </w:pPr>
    </w:p>
    <w:p w:rsidR="008454C8" w:rsidRPr="00197C18" w:rsidRDefault="008454C8" w:rsidP="008454C8">
      <w:pPr>
        <w:spacing w:after="120"/>
        <w:jc w:val="both"/>
        <w:rPr>
          <w:b/>
          <w:lang w:val="en-NZ"/>
        </w:rPr>
      </w:pPr>
      <w:r w:rsidRPr="00197C18">
        <w:rPr>
          <w:b/>
          <w:lang w:val="en-NZ"/>
        </w:rPr>
        <w:t xml:space="preserve">3.2 </w:t>
      </w:r>
      <w:r w:rsidRPr="00197C18">
        <w:rPr>
          <w:b/>
          <w:lang w:val="en-NZ"/>
        </w:rPr>
        <w:tab/>
      </w:r>
      <w:r w:rsidRPr="00197C18">
        <w:rPr>
          <w:b/>
          <w:lang w:val="en-NZ" w:eastAsia="ko-KR"/>
        </w:rPr>
        <w:t>Key</w:t>
      </w:r>
      <w:r w:rsidR="00140025">
        <w:rPr>
          <w:b/>
          <w:lang w:val="en-NZ" w:eastAsia="ko-KR"/>
        </w:rPr>
        <w:t xml:space="preserve"> </w:t>
      </w:r>
      <w:r w:rsidRPr="00197C18">
        <w:rPr>
          <w:b/>
          <w:lang w:val="en-NZ" w:eastAsia="ko-KR"/>
        </w:rPr>
        <w:t>points</w:t>
      </w:r>
      <w:r w:rsidRPr="00197C18">
        <w:rPr>
          <w:b/>
          <w:lang w:val="en-NZ"/>
        </w:rPr>
        <w:t xml:space="preserve"> raised during the meeting</w:t>
      </w:r>
    </w:p>
    <w:p w:rsidR="00016652" w:rsidRPr="00CE1934" w:rsidRDefault="00016652" w:rsidP="00AA07A4">
      <w:pPr>
        <w:pStyle w:val="ListParagraph"/>
        <w:numPr>
          <w:ilvl w:val="0"/>
          <w:numId w:val="18"/>
        </w:numPr>
        <w:ind w:hanging="280"/>
        <w:jc w:val="both"/>
      </w:pPr>
      <w:r w:rsidRPr="00AA07A4">
        <w:rPr>
          <w:lang w:val="en-NZ"/>
        </w:rPr>
        <w:t xml:space="preserve">APT members noted that according to </w:t>
      </w:r>
      <w:r w:rsidR="00C7052A" w:rsidRPr="00753EDE">
        <w:rPr>
          <w:lang w:val="en-NZ"/>
        </w:rPr>
        <w:t xml:space="preserve">Working document towards a </w:t>
      </w:r>
      <w:r w:rsidR="00C7052A" w:rsidRPr="000E5273">
        <w:rPr>
          <w:lang w:val="en-NZ"/>
        </w:rPr>
        <w:t>preliminary draft new Report ITU-R M.[ITS USAGE], “Intelligent transport systems (ITS) usage in ITU Member States” and Working document towards a preliminary draft revision of APT Report on “The Usage of ITS in APT countries” (APT REPORT#18 (REV.2))</w:t>
      </w:r>
      <w:r w:rsidRPr="00AA07A4">
        <w:rPr>
          <w:lang w:val="en-NZ"/>
        </w:rPr>
        <w:t>,</w:t>
      </w:r>
      <w:r w:rsidR="00C7052A" w:rsidRPr="00AA07A4">
        <w:rPr>
          <w:lang w:val="en-NZ"/>
        </w:rPr>
        <w:t xml:space="preserve"> the</w:t>
      </w:r>
      <w:r w:rsidRPr="00AA07A4">
        <w:rPr>
          <w:lang w:val="en-NZ"/>
        </w:rPr>
        <w:t xml:space="preserve"> frequency bands </w:t>
      </w:r>
      <w:r w:rsidRPr="00AA07A4">
        <w:rPr>
          <w:lang w:val="en-GB"/>
        </w:rPr>
        <w:t>5 770-</w:t>
      </w:r>
      <w:r w:rsidR="00A077ED">
        <w:rPr>
          <w:lang w:val="en-GB"/>
        </w:rPr>
        <w:br/>
      </w:r>
      <w:r w:rsidRPr="00AA07A4">
        <w:rPr>
          <w:lang w:val="en-GB"/>
        </w:rPr>
        <w:t>5 850 MHz</w:t>
      </w:r>
      <w:r w:rsidR="00E14CFF" w:rsidRPr="00AA07A4">
        <w:rPr>
          <w:lang w:val="en-GB"/>
        </w:rPr>
        <w:t xml:space="preserve"> and</w:t>
      </w:r>
      <w:r w:rsidRPr="00AA07A4">
        <w:rPr>
          <w:lang w:val="en-GB"/>
        </w:rPr>
        <w:t xml:space="preserve"> 5 855-5 925 MHz</w:t>
      </w:r>
      <w:r w:rsidR="00F25E11">
        <w:rPr>
          <w:lang w:val="en-GB"/>
        </w:rPr>
        <w:t>(</w:t>
      </w:r>
      <w:r w:rsidR="00F05EE3">
        <w:rPr>
          <w:lang w:val="en-GB"/>
        </w:rPr>
        <w:t>or portion of th</w:t>
      </w:r>
      <w:r w:rsidR="0097519F">
        <w:rPr>
          <w:lang w:val="en-GB"/>
        </w:rPr>
        <w:t xml:space="preserve">e </w:t>
      </w:r>
      <w:r w:rsidR="00F05EE3">
        <w:rPr>
          <w:lang w:val="en-GB"/>
        </w:rPr>
        <w:t>band</w:t>
      </w:r>
      <w:r w:rsidR="00F25E11">
        <w:rPr>
          <w:lang w:val="en-GB"/>
        </w:rPr>
        <w:t>)</w:t>
      </w:r>
      <w:r w:rsidRPr="00AA07A4">
        <w:rPr>
          <w:lang w:val="en-GB"/>
        </w:rPr>
        <w:t>are being used in some APT  member countries.</w:t>
      </w:r>
    </w:p>
    <w:p w:rsidR="00057C92" w:rsidRPr="00057C92" w:rsidRDefault="00057C92" w:rsidP="00021C3D">
      <w:pPr>
        <w:pStyle w:val="ListParagraph"/>
        <w:numPr>
          <w:ilvl w:val="0"/>
          <w:numId w:val="18"/>
        </w:numPr>
        <w:spacing w:beforeLines="50" w:before="120"/>
        <w:jc w:val="both"/>
        <w:rPr>
          <w:rFonts w:eastAsiaTheme="minorEastAsia"/>
          <w:lang w:val="en-NZ" w:eastAsia="zh-CN"/>
        </w:rPr>
      </w:pPr>
      <w:r w:rsidRPr="00057C92">
        <w:rPr>
          <w:rFonts w:eastAsiaTheme="minorEastAsia" w:hint="eastAsia"/>
          <w:lang w:val="en-NZ" w:eastAsia="zh-CN"/>
        </w:rPr>
        <w:t>During the discussion, APT Members recognized that the consideration of possible Methods to satisfy this Agenda Item is important for the preparation of APG19-3 meeting.</w:t>
      </w:r>
    </w:p>
    <w:p w:rsidR="00585F3C" w:rsidRDefault="00585F3C" w:rsidP="00B64A60">
      <w:pPr>
        <w:jc w:val="both"/>
        <w:rPr>
          <w:lang w:val="en-NZ"/>
        </w:rPr>
      </w:pPr>
    </w:p>
    <w:p w:rsidR="00B64A60" w:rsidRDefault="00B64A60" w:rsidP="00B64A60">
      <w:pPr>
        <w:spacing w:after="120"/>
        <w:jc w:val="both"/>
        <w:rPr>
          <w:b/>
          <w:lang w:val="en-NZ" w:eastAsia="ko-KR"/>
        </w:rPr>
      </w:pPr>
      <w:r w:rsidRPr="00710333">
        <w:rPr>
          <w:b/>
          <w:lang w:val="en-NZ" w:eastAsia="ko-KR"/>
        </w:rPr>
        <w:t xml:space="preserve">4. </w:t>
      </w:r>
      <w:r>
        <w:rPr>
          <w:b/>
          <w:lang w:val="en-NZ" w:eastAsia="ko-KR"/>
        </w:rPr>
        <w:tab/>
      </w:r>
      <w:r w:rsidR="004465AA">
        <w:rPr>
          <w:b/>
          <w:lang w:val="en-NZ" w:eastAsia="ko-KR"/>
        </w:rPr>
        <w:t xml:space="preserve">APT </w:t>
      </w:r>
      <w:r>
        <w:rPr>
          <w:b/>
          <w:lang w:val="en-NZ" w:eastAsia="ko-KR"/>
        </w:rPr>
        <w:t xml:space="preserve">Preliminary </w:t>
      </w:r>
      <w:r w:rsidRPr="00710333">
        <w:rPr>
          <w:b/>
          <w:lang w:val="en-NZ" w:eastAsia="ko-KR"/>
        </w:rPr>
        <w:t>View</w:t>
      </w:r>
    </w:p>
    <w:p w:rsidR="004E06C2" w:rsidRPr="004E06C2" w:rsidRDefault="004E06C2" w:rsidP="00CE1934">
      <w:pPr>
        <w:jc w:val="thaiDistribute"/>
        <w:rPr>
          <w:rFonts w:cstheme="minorBidi"/>
          <w:iCs/>
          <w:szCs w:val="30"/>
          <w:lang w:eastAsia="ko-KR" w:bidi="th-TH"/>
        </w:rPr>
      </w:pPr>
      <w:r w:rsidRPr="00B1388C">
        <w:rPr>
          <w:rFonts w:cstheme="minorBidi"/>
          <w:iCs/>
          <w:szCs w:val="30"/>
          <w:lang w:eastAsia="ko-KR" w:bidi="th-TH"/>
        </w:rPr>
        <w:t>APT</w:t>
      </w:r>
      <w:r>
        <w:rPr>
          <w:rFonts w:cstheme="minorBidi"/>
          <w:iCs/>
          <w:szCs w:val="30"/>
          <w:lang w:eastAsia="ko-KR" w:bidi="th-TH"/>
        </w:rPr>
        <w:t xml:space="preserve"> Members support </w:t>
      </w:r>
      <w:r w:rsidR="00F312C7" w:rsidRPr="00F312C7">
        <w:t>studies</w:t>
      </w:r>
      <w:r w:rsidR="00F312C7" w:rsidRPr="00531923">
        <w:t xml:space="preserve"> under Resolution </w:t>
      </w:r>
      <w:r w:rsidR="00F312C7" w:rsidRPr="00531923">
        <w:rPr>
          <w:b/>
        </w:rPr>
        <w:t>237 (WRC-15)</w:t>
      </w:r>
      <w:r w:rsidR="00F312C7" w:rsidRPr="00531923">
        <w:t xml:space="preserve"> toward possible </w:t>
      </w:r>
      <w:r w:rsidR="002F540A" w:rsidRPr="00531923">
        <w:t>harmoni</w:t>
      </w:r>
      <w:r w:rsidR="002F540A">
        <w:t>z</w:t>
      </w:r>
      <w:r w:rsidR="002F540A" w:rsidRPr="00531923">
        <w:t xml:space="preserve">ation </w:t>
      </w:r>
      <w:r w:rsidR="00F312C7" w:rsidRPr="00531923">
        <w:t>of frequency bands in existing mobile</w:t>
      </w:r>
      <w:r w:rsidR="002F540A">
        <w:t>-</w:t>
      </w:r>
      <w:r w:rsidR="00F312C7" w:rsidRPr="00531923">
        <w:t>service allocations for the implementation of evolving Intelligent Transport Systems (ITS)</w:t>
      </w:r>
      <w:r w:rsidR="00404A76">
        <w:t>.</w:t>
      </w:r>
    </w:p>
    <w:p w:rsidR="00FD6235" w:rsidRDefault="00FD6235" w:rsidP="00B64A60">
      <w:pPr>
        <w:rPr>
          <w:lang w:val="en-NZ"/>
        </w:rPr>
      </w:pPr>
    </w:p>
    <w:p w:rsidR="00B64A60" w:rsidRPr="008D046E" w:rsidRDefault="00B64A60" w:rsidP="00B64A60">
      <w:pPr>
        <w:spacing w:after="120"/>
        <w:jc w:val="both"/>
        <w:rPr>
          <w:b/>
          <w:lang w:val="en-NZ" w:eastAsia="ko-KR"/>
        </w:rPr>
      </w:pPr>
      <w:r>
        <w:rPr>
          <w:b/>
          <w:lang w:val="en-NZ" w:eastAsia="ko-KR"/>
        </w:rPr>
        <w:t>5.</w:t>
      </w:r>
      <w:r w:rsidRPr="008D046E">
        <w:rPr>
          <w:b/>
          <w:lang w:val="en-NZ" w:eastAsia="ko-KR"/>
        </w:rPr>
        <w:tab/>
        <w:t>Other Views</w:t>
      </w:r>
    </w:p>
    <w:p w:rsidR="00E64D6D" w:rsidRDefault="000E5273" w:rsidP="00CE1934">
      <w:pPr>
        <w:jc w:val="both"/>
        <w:rPr>
          <w:rFonts w:eastAsiaTheme="minorEastAsia"/>
          <w:lang w:eastAsia="zh-CN"/>
        </w:rPr>
      </w:pPr>
      <w:r>
        <w:rPr>
          <w:lang w:eastAsia="zh-CN"/>
        </w:rPr>
        <w:t>Some APT Member</w:t>
      </w:r>
      <w:r w:rsidR="00EF31D3">
        <w:rPr>
          <w:lang w:eastAsia="zh-CN"/>
        </w:rPr>
        <w:t>s</w:t>
      </w:r>
      <w:r>
        <w:rPr>
          <w:lang w:eastAsia="zh-CN"/>
        </w:rPr>
        <w:t xml:space="preserve"> support</w:t>
      </w:r>
      <w:r w:rsidRPr="00DC4AF5">
        <w:rPr>
          <w:lang w:eastAsia="zh-CN"/>
        </w:rPr>
        <w:t xml:space="preserve"> LTE-V2X as one of the evolving ITS technologies</w:t>
      </w:r>
      <w:r w:rsidR="006157EE">
        <w:rPr>
          <w:lang w:eastAsia="zh-CN"/>
        </w:rPr>
        <w:t>, and</w:t>
      </w:r>
      <w:r w:rsidR="00057C92">
        <w:rPr>
          <w:rFonts w:eastAsiaTheme="minorEastAsia" w:hint="eastAsia"/>
          <w:lang w:eastAsia="zh-CN"/>
        </w:rPr>
        <w:t xml:space="preserve"> </w:t>
      </w:r>
      <w:r w:rsidR="006157EE">
        <w:t>a</w:t>
      </w:r>
      <w:r w:rsidR="00E64D6D" w:rsidRPr="00DC4AF5">
        <w:t xml:space="preserve">ny </w:t>
      </w:r>
      <w:proofErr w:type="spellStart"/>
      <w:r w:rsidR="00E64D6D" w:rsidRPr="00DC4AF5">
        <w:t>harmonised</w:t>
      </w:r>
      <w:proofErr w:type="spellEnd"/>
      <w:r w:rsidR="00E64D6D" w:rsidRPr="00DC4AF5">
        <w:t xml:space="preserve"> frequency bands for </w:t>
      </w:r>
      <w:proofErr w:type="gramStart"/>
      <w:r w:rsidR="00E64D6D" w:rsidRPr="00DC4AF5">
        <w:t>ITS</w:t>
      </w:r>
      <w:proofErr w:type="gramEnd"/>
      <w:r w:rsidR="00E64D6D" w:rsidRPr="00DC4AF5">
        <w:t xml:space="preserve"> should not be restricted to, nor exclude, any particular </w:t>
      </w:r>
      <w:r w:rsidR="00057C92" w:rsidRPr="00DC4AF5">
        <w:rPr>
          <w:lang w:eastAsia="zh-CN"/>
        </w:rPr>
        <w:t>evolving</w:t>
      </w:r>
      <w:r w:rsidR="00057C92" w:rsidRPr="00DC4AF5">
        <w:t xml:space="preserve"> </w:t>
      </w:r>
      <w:r w:rsidR="00E64D6D" w:rsidRPr="00DC4AF5">
        <w:t>ITS technology.</w:t>
      </w:r>
    </w:p>
    <w:p w:rsidR="00140025" w:rsidRDefault="00140025" w:rsidP="00057C92">
      <w:pPr>
        <w:jc w:val="both"/>
      </w:pPr>
    </w:p>
    <w:p w:rsidR="00057C92" w:rsidRDefault="00057C92" w:rsidP="00057C92">
      <w:pPr>
        <w:jc w:val="both"/>
        <w:rPr>
          <w:rFonts w:eastAsiaTheme="minorEastAsia"/>
          <w:lang w:eastAsia="zh-CN"/>
        </w:rPr>
      </w:pPr>
      <w:bookmarkStart w:id="8" w:name="_GoBack"/>
      <w:bookmarkEnd w:id="8"/>
      <w:r w:rsidRPr="00753EDE">
        <w:t xml:space="preserve">Some APT member countries are </w:t>
      </w:r>
      <w:r>
        <w:t xml:space="preserve">considering possible </w:t>
      </w:r>
      <w:r w:rsidRPr="00753EDE">
        <w:t xml:space="preserve">Methods to satisfy the agenda item other than </w:t>
      </w:r>
      <w:r>
        <w:t>the method to not change the Radio Regulations and to</w:t>
      </w:r>
      <w:r w:rsidRPr="00753EDE">
        <w:t xml:space="preserve"> SUP Resolution 237 (WRC-15)</w:t>
      </w:r>
      <w:r>
        <w:t>.F</w:t>
      </w:r>
      <w:r w:rsidRPr="00753EDE">
        <w:t xml:space="preserve">or </w:t>
      </w:r>
      <w:proofErr w:type="spellStart"/>
      <w:r w:rsidRPr="00753EDE">
        <w:t>example</w:t>
      </w:r>
      <w:proofErr w:type="gramStart"/>
      <w:r>
        <w:t>,to</w:t>
      </w:r>
      <w:proofErr w:type="spellEnd"/>
      <w:proofErr w:type="gramEnd"/>
      <w:r>
        <w:t xml:space="preserve"> modify Article 5 of the Radio Regulations</w:t>
      </w:r>
      <w:r w:rsidR="00E444F4">
        <w:t xml:space="preserve"> </w:t>
      </w:r>
      <w:r>
        <w:t xml:space="preserve">by adding a footnote which refers to </w:t>
      </w:r>
      <w:r w:rsidRPr="00753EDE">
        <w:t xml:space="preserve">a </w:t>
      </w:r>
      <w:r>
        <w:t xml:space="preserve">WRC </w:t>
      </w:r>
      <w:r w:rsidRPr="00753EDE">
        <w:t>Resolution</w:t>
      </w:r>
      <w:r>
        <w:t xml:space="preserve">, to develop a WRC </w:t>
      </w:r>
      <w:r w:rsidRPr="0005705D">
        <w:t>Resolution</w:t>
      </w:r>
      <w:r w:rsidRPr="00753EDE">
        <w:t xml:space="preserve"> which </w:t>
      </w:r>
      <w:r>
        <w:t>refers</w:t>
      </w:r>
      <w:r w:rsidRPr="00753EDE">
        <w:t xml:space="preserve"> to an ITU-R Recommendation, or </w:t>
      </w:r>
      <w:r>
        <w:t xml:space="preserve">to </w:t>
      </w:r>
      <w:r w:rsidRPr="00753EDE">
        <w:t xml:space="preserve">ADD a footnote </w:t>
      </w:r>
      <w:r>
        <w:t>in Article 5 of Radio Regulations</w:t>
      </w:r>
      <w:r w:rsidR="00E444F4">
        <w:t xml:space="preserve"> </w:t>
      </w:r>
      <w:r w:rsidRPr="00753EDE">
        <w:t>that directly references an ITU-R Recommendation.</w:t>
      </w:r>
    </w:p>
    <w:p w:rsidR="00057C92" w:rsidRPr="00057C92" w:rsidRDefault="00057C92" w:rsidP="00057C92">
      <w:pPr>
        <w:jc w:val="both"/>
        <w:rPr>
          <w:rFonts w:eastAsiaTheme="minorEastAsia"/>
          <w:lang w:eastAsia="zh-CN"/>
        </w:rPr>
      </w:pPr>
      <w:r>
        <w:rPr>
          <w:rFonts w:eastAsiaTheme="minorEastAsia" w:hint="eastAsia"/>
          <w:lang w:eastAsia="zh-CN"/>
        </w:rPr>
        <w:t>Some APT Members are of the view that there is no need to change the Radio Regulations to satisfy this agenda item.</w:t>
      </w:r>
    </w:p>
    <w:p w:rsidR="00057C92" w:rsidRPr="00057C92" w:rsidRDefault="00057C92" w:rsidP="00AA07A4">
      <w:pPr>
        <w:rPr>
          <w:rFonts w:eastAsiaTheme="minorEastAsia"/>
          <w:lang w:eastAsia="zh-CN"/>
        </w:rPr>
      </w:pPr>
    </w:p>
    <w:p w:rsidR="00B64A60" w:rsidRDefault="00B64A60" w:rsidP="00B64A60">
      <w:pPr>
        <w:rPr>
          <w:lang w:val="en-NZ"/>
        </w:rPr>
      </w:pPr>
    </w:p>
    <w:p w:rsidR="0074765F" w:rsidRDefault="00D53688" w:rsidP="0074765F">
      <w:pPr>
        <w:spacing w:after="120"/>
        <w:rPr>
          <w:b/>
          <w:lang w:val="en-NZ"/>
        </w:rPr>
      </w:pPr>
      <w:r>
        <w:rPr>
          <w:b/>
          <w:lang w:val="en-NZ"/>
        </w:rPr>
        <w:t xml:space="preserve">6. </w:t>
      </w:r>
      <w:r>
        <w:rPr>
          <w:b/>
          <w:lang w:val="en-NZ"/>
        </w:rPr>
        <w:tab/>
        <w:t xml:space="preserve">Views from Other </w:t>
      </w:r>
      <w:r w:rsidR="00A564FB">
        <w:rPr>
          <w:b/>
          <w:lang w:val="en-NZ"/>
        </w:rPr>
        <w:t>Organisations</w:t>
      </w:r>
    </w:p>
    <w:p w:rsidR="00F45A0E" w:rsidRPr="00B63817" w:rsidRDefault="00CA03DB" w:rsidP="00AA07A4">
      <w:pPr>
        <w:numPr>
          <w:ilvl w:val="0"/>
          <w:numId w:val="21"/>
        </w:numPr>
        <w:ind w:hanging="294"/>
        <w:jc w:val="both"/>
      </w:pPr>
      <w:r w:rsidRPr="001A3F82">
        <w:rPr>
          <w:b/>
          <w:bCs/>
        </w:rPr>
        <w:t xml:space="preserve">ASMG </w:t>
      </w:r>
    </w:p>
    <w:p w:rsidR="00F45A0E" w:rsidRDefault="00CA03DB" w:rsidP="00AA07A4">
      <w:pPr>
        <w:numPr>
          <w:ilvl w:val="1"/>
          <w:numId w:val="21"/>
        </w:numPr>
        <w:tabs>
          <w:tab w:val="clear" w:pos="1440"/>
          <w:tab w:val="num" w:pos="2127"/>
        </w:tabs>
        <w:ind w:left="1134" w:hanging="283"/>
        <w:jc w:val="both"/>
      </w:pPr>
      <w:r w:rsidRPr="00B63817">
        <w:t>Follow-up studies, and request administrations to consider the possibility of identifying appropriate frequency bands for these systems within the current allocations of the mobile service.</w:t>
      </w:r>
    </w:p>
    <w:p w:rsidR="00F45A0E" w:rsidRPr="00B63817" w:rsidRDefault="00CA03DB" w:rsidP="00AA07A4">
      <w:pPr>
        <w:numPr>
          <w:ilvl w:val="0"/>
          <w:numId w:val="21"/>
        </w:numPr>
        <w:tabs>
          <w:tab w:val="num" w:pos="2127"/>
        </w:tabs>
        <w:ind w:left="1134" w:hanging="708"/>
        <w:jc w:val="both"/>
      </w:pPr>
      <w:r w:rsidRPr="001A3F82">
        <w:rPr>
          <w:b/>
          <w:bCs/>
        </w:rPr>
        <w:t>CEPT</w:t>
      </w:r>
    </w:p>
    <w:p w:rsidR="00F45A0E" w:rsidRPr="00B63817" w:rsidRDefault="00CA03DB" w:rsidP="00AA07A4">
      <w:pPr>
        <w:numPr>
          <w:ilvl w:val="1"/>
          <w:numId w:val="21"/>
        </w:numPr>
        <w:tabs>
          <w:tab w:val="clear" w:pos="1440"/>
          <w:tab w:val="num" w:pos="2127"/>
        </w:tabs>
        <w:ind w:left="1134" w:hanging="283"/>
        <w:jc w:val="both"/>
      </w:pPr>
      <w:r w:rsidRPr="00B63817">
        <w:t xml:space="preserve">CEPT is of the view that its existing regional </w:t>
      </w:r>
      <w:proofErr w:type="spellStart"/>
      <w:r w:rsidRPr="00B63817">
        <w:t>harmonisation</w:t>
      </w:r>
      <w:proofErr w:type="spellEnd"/>
      <w:r w:rsidRPr="00B63817">
        <w:t xml:space="preserve"> measures for </w:t>
      </w:r>
      <w:proofErr w:type="gramStart"/>
      <w:r w:rsidRPr="00B63817">
        <w:t>ITS</w:t>
      </w:r>
      <w:proofErr w:type="gramEnd"/>
      <w:r w:rsidRPr="00B63817">
        <w:t xml:space="preserve"> in the bands 5 855-5 925 MHz and 63-64 GHz are sufficient and no changes to the RR are required in response to WRC-19 Agenda item 1.12.</w:t>
      </w:r>
    </w:p>
    <w:p w:rsidR="00F45A0E" w:rsidRPr="00B63817" w:rsidRDefault="00CA03DB" w:rsidP="00AA07A4">
      <w:pPr>
        <w:numPr>
          <w:ilvl w:val="1"/>
          <w:numId w:val="21"/>
        </w:numPr>
        <w:tabs>
          <w:tab w:val="clear" w:pos="1440"/>
          <w:tab w:val="num" w:pos="2127"/>
        </w:tabs>
        <w:ind w:left="1134" w:hanging="283"/>
        <w:jc w:val="both"/>
      </w:pPr>
      <w:r w:rsidRPr="00B63817">
        <w:t xml:space="preserve">CEPT is of the view that </w:t>
      </w:r>
      <w:proofErr w:type="spellStart"/>
      <w:r w:rsidRPr="00B63817">
        <w:t>harmonisation</w:t>
      </w:r>
      <w:proofErr w:type="spellEnd"/>
      <w:r w:rsidRPr="00B63817">
        <w:t xml:space="preserve"> measures for ITS on ITU-R level can be achieved through the development of an ITU-R Recommendation (and an ITU-R Report if needed).</w:t>
      </w:r>
    </w:p>
    <w:p w:rsidR="00F45A0E" w:rsidRPr="00B63817" w:rsidRDefault="00CA03DB" w:rsidP="00AA07A4">
      <w:pPr>
        <w:numPr>
          <w:ilvl w:val="1"/>
          <w:numId w:val="21"/>
        </w:numPr>
        <w:tabs>
          <w:tab w:val="clear" w:pos="1440"/>
          <w:tab w:val="num" w:pos="2127"/>
        </w:tabs>
        <w:ind w:left="1134" w:hanging="283"/>
        <w:jc w:val="both"/>
      </w:pPr>
      <w:r w:rsidRPr="00B63817">
        <w:t>CEPT is of the view that the requirements developed for ITS operations under the existing primary mobile allocation have already addressed the necessary sharing and compatibility requirements of the other primary services, and consequently do not impose additional constraints on primary services having allocations in the considered frequency bands.</w:t>
      </w:r>
    </w:p>
    <w:p w:rsidR="00F45A0E" w:rsidRDefault="00CA03DB" w:rsidP="00AA07A4">
      <w:pPr>
        <w:numPr>
          <w:ilvl w:val="1"/>
          <w:numId w:val="21"/>
        </w:numPr>
        <w:tabs>
          <w:tab w:val="clear" w:pos="1440"/>
          <w:tab w:val="num" w:pos="2127"/>
        </w:tabs>
        <w:ind w:left="1134" w:hanging="283"/>
        <w:jc w:val="both"/>
      </w:pPr>
      <w:r w:rsidRPr="00B63817">
        <w:lastRenderedPageBreak/>
        <w:t xml:space="preserve">CEPT is also of the view that </w:t>
      </w:r>
      <w:proofErr w:type="spellStart"/>
      <w:r w:rsidRPr="00B63817">
        <w:t>harmonisation</w:t>
      </w:r>
      <w:proofErr w:type="spellEnd"/>
      <w:r w:rsidRPr="00B63817">
        <w:t xml:space="preserve"> of </w:t>
      </w:r>
      <w:proofErr w:type="gramStart"/>
      <w:r w:rsidRPr="00B63817">
        <w:t>ITS</w:t>
      </w:r>
      <w:proofErr w:type="gramEnd"/>
      <w:r w:rsidRPr="00B63817">
        <w:t xml:space="preserve"> under WRC-19 Agenda item 1.12 is limited to the exchange of information to improve traffic management and assisting safe driving.</w:t>
      </w:r>
    </w:p>
    <w:p w:rsidR="00F45A0E" w:rsidRPr="00FB0043" w:rsidRDefault="00CA03DB" w:rsidP="00AA07A4">
      <w:pPr>
        <w:numPr>
          <w:ilvl w:val="0"/>
          <w:numId w:val="21"/>
        </w:numPr>
        <w:tabs>
          <w:tab w:val="num" w:pos="2127"/>
        </w:tabs>
        <w:ind w:left="1134" w:hanging="708"/>
        <w:jc w:val="both"/>
      </w:pPr>
      <w:r w:rsidRPr="001A3F82">
        <w:rPr>
          <w:b/>
          <w:bCs/>
        </w:rPr>
        <w:t xml:space="preserve">RCC </w:t>
      </w:r>
    </w:p>
    <w:p w:rsidR="00F45A0E" w:rsidRPr="00B63817" w:rsidRDefault="00CA03DB" w:rsidP="00AA07A4">
      <w:pPr>
        <w:numPr>
          <w:ilvl w:val="1"/>
          <w:numId w:val="21"/>
        </w:numPr>
        <w:tabs>
          <w:tab w:val="clear" w:pos="1440"/>
          <w:tab w:val="num" w:pos="2127"/>
        </w:tabs>
        <w:ind w:left="1134" w:hanging="283"/>
        <w:jc w:val="both"/>
      </w:pPr>
      <w:r w:rsidRPr="00B63817">
        <w:t>The RCC Administrations consider it reasonable to harmonize frequency bands at global and regional levels within existing mobile service allocations in order to implement evolving Intelligent Transport Systems, including through the development of ITU-R Recommendations and Reports.</w:t>
      </w:r>
    </w:p>
    <w:p w:rsidR="00F45A0E" w:rsidRDefault="00CA03DB" w:rsidP="00AA07A4">
      <w:pPr>
        <w:numPr>
          <w:ilvl w:val="1"/>
          <w:numId w:val="21"/>
        </w:numPr>
        <w:tabs>
          <w:tab w:val="clear" w:pos="1440"/>
          <w:tab w:val="num" w:pos="2127"/>
        </w:tabs>
        <w:ind w:left="1134" w:hanging="283"/>
        <w:jc w:val="both"/>
      </w:pPr>
      <w:r w:rsidRPr="00B63817">
        <w:t>The RCC Administrations are of the view that the implementation of evolving transport systems within existing mobile service allocations shall not impose additional constraints on services already having allocations in these or adjacent frequency bands.</w:t>
      </w:r>
    </w:p>
    <w:p w:rsidR="006C45D4" w:rsidRPr="00E368A4" w:rsidRDefault="006C45D4" w:rsidP="00AA07A4">
      <w:pPr>
        <w:numPr>
          <w:ilvl w:val="0"/>
          <w:numId w:val="21"/>
        </w:numPr>
        <w:tabs>
          <w:tab w:val="num" w:pos="2127"/>
        </w:tabs>
        <w:ind w:left="1134" w:hanging="708"/>
        <w:jc w:val="both"/>
      </w:pPr>
      <w:r w:rsidRPr="001A3F82">
        <w:rPr>
          <w:b/>
          <w:bCs/>
        </w:rPr>
        <w:t>IARU</w:t>
      </w:r>
    </w:p>
    <w:p w:rsidR="006C45D4" w:rsidRPr="00E368A4" w:rsidRDefault="006C45D4" w:rsidP="00AA07A4">
      <w:pPr>
        <w:numPr>
          <w:ilvl w:val="1"/>
          <w:numId w:val="21"/>
        </w:numPr>
        <w:tabs>
          <w:tab w:val="clear" w:pos="1440"/>
          <w:tab w:val="num" w:pos="2127"/>
        </w:tabs>
        <w:ind w:left="1134" w:hanging="283"/>
        <w:jc w:val="both"/>
        <w:rPr>
          <w:rFonts w:eastAsiaTheme="minorEastAsia"/>
          <w:lang w:eastAsia="ja-JP"/>
        </w:rPr>
      </w:pPr>
      <w:r w:rsidRPr="001A3F82">
        <w:t xml:space="preserve">The IARU is of the view that existing and future amateur use in this band is protected with special attention to the bands 5 760 to 5 765 MHz and 5 830 to 5 850 </w:t>
      </w:r>
      <w:proofErr w:type="spellStart"/>
      <w:r w:rsidRPr="001A3F82">
        <w:t>MHz.</w:t>
      </w:r>
      <w:proofErr w:type="spellEnd"/>
    </w:p>
    <w:p w:rsidR="00D33D9C" w:rsidRPr="001A3F82" w:rsidRDefault="00D33D9C" w:rsidP="00AA07A4">
      <w:pPr>
        <w:numPr>
          <w:ilvl w:val="0"/>
          <w:numId w:val="21"/>
        </w:numPr>
        <w:tabs>
          <w:tab w:val="num" w:pos="2127"/>
        </w:tabs>
        <w:ind w:left="1134" w:hanging="708"/>
        <w:jc w:val="both"/>
        <w:rPr>
          <w:b/>
          <w:bCs/>
        </w:rPr>
      </w:pPr>
      <w:r w:rsidRPr="001A3F82">
        <w:rPr>
          <w:b/>
          <w:bCs/>
        </w:rPr>
        <w:t>ICAO</w:t>
      </w:r>
    </w:p>
    <w:p w:rsidR="00D53688" w:rsidRPr="001A3F82" w:rsidRDefault="00D33D9C" w:rsidP="00AA07A4">
      <w:pPr>
        <w:numPr>
          <w:ilvl w:val="1"/>
          <w:numId w:val="21"/>
        </w:numPr>
        <w:tabs>
          <w:tab w:val="clear" w:pos="1440"/>
          <w:tab w:val="num" w:pos="2127"/>
        </w:tabs>
        <w:ind w:left="1134" w:hanging="283"/>
        <w:jc w:val="both"/>
      </w:pPr>
      <w:r w:rsidRPr="001A3F82">
        <w:t>To ensure, on the basis of agreed ITU-R studies, that any regulatory actions within existing mobile-service bands do not impact existing aeronautical systems operating in accordance with the Radio Regulations.</w:t>
      </w:r>
    </w:p>
    <w:p w:rsidR="00B64A60" w:rsidRPr="00B64A60" w:rsidRDefault="00B64A60" w:rsidP="00AA07A4">
      <w:pPr>
        <w:jc w:val="both"/>
        <w:rPr>
          <w:lang w:val="en-NZ"/>
        </w:rPr>
      </w:pPr>
    </w:p>
    <w:p w:rsidR="00B64A60" w:rsidRPr="008D046E" w:rsidRDefault="00D53688" w:rsidP="00B64A60">
      <w:pPr>
        <w:spacing w:after="120"/>
        <w:jc w:val="both"/>
        <w:rPr>
          <w:b/>
          <w:lang w:val="en-NZ" w:eastAsia="ko-KR"/>
        </w:rPr>
      </w:pPr>
      <w:r>
        <w:rPr>
          <w:b/>
          <w:lang w:val="en-NZ" w:eastAsia="ko-KR"/>
        </w:rPr>
        <w:t>7</w:t>
      </w:r>
      <w:r w:rsidR="00B64A60">
        <w:rPr>
          <w:b/>
          <w:lang w:val="en-NZ" w:eastAsia="ko-KR"/>
        </w:rPr>
        <w:t>.</w:t>
      </w:r>
      <w:r w:rsidR="00B64A60" w:rsidRPr="008D046E">
        <w:rPr>
          <w:b/>
          <w:lang w:val="en-NZ" w:eastAsia="ko-KR"/>
        </w:rPr>
        <w:tab/>
        <w:t xml:space="preserve">Issues for </w:t>
      </w:r>
      <w:r w:rsidR="00585F3C">
        <w:rPr>
          <w:b/>
          <w:lang w:val="en-NZ" w:eastAsia="ko-KR"/>
        </w:rPr>
        <w:t>C</w:t>
      </w:r>
      <w:r w:rsidR="00B64A60" w:rsidRPr="008D046E">
        <w:rPr>
          <w:b/>
          <w:lang w:val="en-NZ" w:eastAsia="ko-KR"/>
        </w:rPr>
        <w:t xml:space="preserve">onsideration at </w:t>
      </w:r>
      <w:r w:rsidR="00585F3C">
        <w:rPr>
          <w:b/>
          <w:lang w:val="en-NZ" w:eastAsia="ko-KR"/>
        </w:rPr>
        <w:t>N</w:t>
      </w:r>
      <w:r w:rsidR="00B64A60" w:rsidRPr="008D046E">
        <w:rPr>
          <w:b/>
          <w:lang w:val="en-NZ" w:eastAsia="ko-KR"/>
        </w:rPr>
        <w:t xml:space="preserve">ext APG </w:t>
      </w:r>
      <w:r w:rsidR="00585F3C">
        <w:rPr>
          <w:b/>
          <w:lang w:val="en-NZ" w:eastAsia="ko-KR"/>
        </w:rPr>
        <w:t>M</w:t>
      </w:r>
      <w:r w:rsidR="00B64A60" w:rsidRPr="008D046E">
        <w:rPr>
          <w:b/>
          <w:lang w:val="en-NZ" w:eastAsia="ko-KR"/>
        </w:rPr>
        <w:t>eeting</w:t>
      </w:r>
    </w:p>
    <w:p w:rsidR="00C7052A" w:rsidRDefault="00C7052A" w:rsidP="00AA07A4">
      <w:pPr>
        <w:rPr>
          <w:lang w:val="en-NZ"/>
        </w:rPr>
      </w:pPr>
      <w:r w:rsidRPr="00286BE7">
        <w:rPr>
          <w:lang w:val="en-NZ"/>
        </w:rPr>
        <w:t xml:space="preserve">APT </w:t>
      </w:r>
      <w:r w:rsidR="00C56E31">
        <w:rPr>
          <w:rFonts w:eastAsiaTheme="minorEastAsia" w:hint="eastAsia"/>
          <w:lang w:val="en-NZ" w:eastAsia="zh-CN"/>
        </w:rPr>
        <w:t>M</w:t>
      </w:r>
      <w:r w:rsidRPr="00286BE7">
        <w:rPr>
          <w:lang w:val="en-NZ"/>
        </w:rPr>
        <w:t>embers are encouraged to</w:t>
      </w:r>
      <w:r w:rsidR="00C56E31">
        <w:rPr>
          <w:rFonts w:eastAsiaTheme="minorEastAsia" w:hint="eastAsia"/>
          <w:lang w:val="en-NZ" w:eastAsia="zh-CN"/>
        </w:rPr>
        <w:t xml:space="preserve"> contribute to the APG19-3 in</w:t>
      </w:r>
      <w:r w:rsidRPr="00286BE7">
        <w:rPr>
          <w:lang w:val="en-NZ"/>
        </w:rPr>
        <w:t xml:space="preserve"> consider</w:t>
      </w:r>
      <w:r w:rsidR="00C56E31">
        <w:rPr>
          <w:rFonts w:eastAsiaTheme="minorEastAsia" w:hint="eastAsia"/>
          <w:lang w:val="en-NZ" w:eastAsia="zh-CN"/>
        </w:rPr>
        <w:t>ing</w:t>
      </w:r>
      <w:r w:rsidRPr="00286BE7">
        <w:rPr>
          <w:lang w:val="en-NZ"/>
        </w:rPr>
        <w:t xml:space="preserve"> frequency band</w:t>
      </w:r>
      <w:r w:rsidRPr="00970ABE">
        <w:rPr>
          <w:lang w:val="en-NZ"/>
        </w:rPr>
        <w:t>(</w:t>
      </w:r>
      <w:r w:rsidRPr="0066262F">
        <w:rPr>
          <w:lang w:val="en-NZ"/>
        </w:rPr>
        <w:t>s</w:t>
      </w:r>
      <w:r w:rsidRPr="00E64D6D">
        <w:rPr>
          <w:lang w:val="en-NZ"/>
        </w:rPr>
        <w:t xml:space="preserve">) to be harmonized in Region </w:t>
      </w:r>
      <w:r w:rsidRPr="00286BE7">
        <w:rPr>
          <w:lang w:val="en-NZ"/>
        </w:rPr>
        <w:t>3</w:t>
      </w:r>
      <w:r w:rsidR="00C56E31">
        <w:rPr>
          <w:rFonts w:eastAsiaTheme="minorEastAsia" w:hint="eastAsia"/>
          <w:lang w:val="en-NZ" w:eastAsia="zh-CN"/>
        </w:rPr>
        <w:t xml:space="preserve"> under this agenda item</w:t>
      </w:r>
      <w:r w:rsidRPr="00286BE7">
        <w:rPr>
          <w:lang w:val="en-NZ"/>
        </w:rPr>
        <w:t>.</w:t>
      </w:r>
    </w:p>
    <w:p w:rsidR="00B64A60" w:rsidRPr="00710333" w:rsidRDefault="00B64A60" w:rsidP="00B64A60">
      <w:pPr>
        <w:jc w:val="both"/>
        <w:rPr>
          <w:lang w:val="en-NZ"/>
        </w:rPr>
      </w:pPr>
    </w:p>
    <w:p w:rsidR="00654896" w:rsidRPr="004F6AAB" w:rsidRDefault="00654896" w:rsidP="00B64A60">
      <w:pPr>
        <w:rPr>
          <w:b/>
          <w:lang w:val="en-NZ"/>
        </w:rPr>
      </w:pPr>
    </w:p>
    <w:p w:rsidR="00B64A60" w:rsidRPr="00710333" w:rsidRDefault="00B64A60" w:rsidP="00B64A60">
      <w:pPr>
        <w:jc w:val="center"/>
        <w:rPr>
          <w:snapToGrid w:val="0"/>
          <w:lang w:val="en-NZ"/>
        </w:rPr>
      </w:pPr>
      <w:r w:rsidRPr="00710333">
        <w:rPr>
          <w:lang w:val="en-NZ"/>
        </w:rPr>
        <w:t>____________</w:t>
      </w:r>
    </w:p>
    <w:p w:rsidR="00930E64" w:rsidRPr="007673CA" w:rsidRDefault="00930E64" w:rsidP="00D13D9D">
      <w:pPr>
        <w:jc w:val="both"/>
        <w:rPr>
          <w:lang w:val="en-NZ"/>
        </w:rPr>
      </w:pPr>
    </w:p>
    <w:sectPr w:rsidR="00930E64" w:rsidRPr="007673CA" w:rsidSect="00DB0A68">
      <w:headerReference w:type="default" r:id="rId9"/>
      <w:footerReference w:type="even" r:id="rId10"/>
      <w:footerReference w:type="default" r:id="rId11"/>
      <w:footerReference w:type="first" r:id="rId12"/>
      <w:pgSz w:w="11909" w:h="16834" w:code="9"/>
      <w:pgMar w:top="1195" w:right="1152" w:bottom="113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17B" w:rsidRDefault="002E717B">
      <w:r>
        <w:separator/>
      </w:r>
    </w:p>
  </w:endnote>
  <w:endnote w:type="continuationSeparator" w:id="0">
    <w:p w:rsidR="002E717B" w:rsidRDefault="002E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Che">
    <w:panose1 w:val="020B0609000101010101"/>
    <w:charset w:val="81"/>
    <w:family w:val="modern"/>
    <w:pitch w:val="fixed"/>
    <w:sig w:usb0="B00002AF" w:usb1="69D77CFB" w:usb2="00000030" w:usb3="00000000" w:csb0="0008009F" w:csb1="00000000"/>
  </w:font>
  <w:font w:name="BatangChe">
    <w:altName w:val="Arial Unicode MS"/>
    <w:panose1 w:val="02030609000101010101"/>
    <w:charset w:val="81"/>
    <w:family w:val="modern"/>
    <w:pitch w:val="fixed"/>
    <w:sig w:usb0="00000000"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93B" w:rsidRDefault="009A05C6" w:rsidP="002C07DA">
    <w:pPr>
      <w:pStyle w:val="Footer"/>
      <w:framePr w:wrap="around" w:vAnchor="text" w:hAnchor="margin" w:xAlign="right" w:y="1"/>
      <w:rPr>
        <w:rStyle w:val="PageNumber"/>
      </w:rPr>
    </w:pPr>
    <w:r>
      <w:rPr>
        <w:rStyle w:val="PageNumber"/>
      </w:rPr>
      <w:fldChar w:fldCharType="begin"/>
    </w:r>
    <w:r w:rsidR="0097693B">
      <w:rPr>
        <w:rStyle w:val="PageNumber"/>
      </w:rPr>
      <w:instrText xml:space="preserve">PAGE  </w:instrText>
    </w:r>
    <w:r>
      <w:rPr>
        <w:rStyle w:val="PageNumber"/>
      </w:rPr>
      <w:fldChar w:fldCharType="end"/>
    </w:r>
  </w:p>
  <w:p w:rsidR="0097693B" w:rsidRDefault="0097693B" w:rsidP="00DB0A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93B" w:rsidRDefault="00140025" w:rsidP="00140025">
    <w:pPr>
      <w:pStyle w:val="Footer"/>
      <w:ind w:right="360"/>
    </w:pPr>
    <w:r>
      <w:rPr>
        <w:rFonts w:hint="eastAsia"/>
        <w:lang w:eastAsia="ko-KR"/>
      </w:rPr>
      <w:t>A</w:t>
    </w:r>
    <w:r>
      <w:rPr>
        <w:lang w:eastAsia="ko-KR"/>
      </w:rPr>
      <w:t>PG19-2/OUT-31</w:t>
    </w:r>
    <w:r>
      <w:rPr>
        <w:lang w:eastAsia="ko-KR"/>
      </w:rPr>
      <w:tab/>
    </w:r>
    <w:r>
      <w:rPr>
        <w:lang w:eastAsia="ko-KR"/>
      </w:rPr>
      <w:tab/>
    </w:r>
    <w:r w:rsidR="002C7EA9" w:rsidRPr="002C7EA9">
      <w:rPr>
        <w:rStyle w:val="PageNumber"/>
      </w:rPr>
      <w:t xml:space="preserve">Page </w:t>
    </w:r>
    <w:r w:rsidR="009A05C6" w:rsidRPr="002C7EA9">
      <w:rPr>
        <w:rStyle w:val="PageNumber"/>
      </w:rPr>
      <w:fldChar w:fldCharType="begin"/>
    </w:r>
    <w:r w:rsidR="002C7EA9" w:rsidRPr="002C7EA9">
      <w:rPr>
        <w:rStyle w:val="PageNumber"/>
      </w:rPr>
      <w:instrText xml:space="preserve"> PAGE </w:instrText>
    </w:r>
    <w:r w:rsidR="009A05C6" w:rsidRPr="002C7EA9">
      <w:rPr>
        <w:rStyle w:val="PageNumber"/>
      </w:rPr>
      <w:fldChar w:fldCharType="separate"/>
    </w:r>
    <w:r>
      <w:rPr>
        <w:rStyle w:val="PageNumber"/>
        <w:noProof/>
      </w:rPr>
      <w:t>4</w:t>
    </w:r>
    <w:r w:rsidR="009A05C6" w:rsidRPr="002C7EA9">
      <w:rPr>
        <w:rStyle w:val="PageNumber"/>
      </w:rPr>
      <w:fldChar w:fldCharType="end"/>
    </w:r>
    <w:r w:rsidR="002C7EA9" w:rsidRPr="002C7EA9">
      <w:rPr>
        <w:rStyle w:val="PageNumber"/>
      </w:rPr>
      <w:t xml:space="preserve"> of </w:t>
    </w:r>
    <w:r w:rsidR="009A05C6" w:rsidRPr="002C7EA9">
      <w:rPr>
        <w:rStyle w:val="PageNumber"/>
      </w:rPr>
      <w:fldChar w:fldCharType="begin"/>
    </w:r>
    <w:r w:rsidR="002C7EA9" w:rsidRPr="002C7EA9">
      <w:rPr>
        <w:rStyle w:val="PageNumber"/>
      </w:rPr>
      <w:instrText xml:space="preserve"> NUMPAGES </w:instrText>
    </w:r>
    <w:r w:rsidR="009A05C6" w:rsidRPr="002C7EA9">
      <w:rPr>
        <w:rStyle w:val="PageNumber"/>
      </w:rPr>
      <w:fldChar w:fldCharType="separate"/>
    </w:r>
    <w:r>
      <w:rPr>
        <w:rStyle w:val="PageNumber"/>
        <w:noProof/>
      </w:rPr>
      <w:t>5</w:t>
    </w:r>
    <w:r w:rsidR="009A05C6" w:rsidRPr="002C7EA9">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CellMar>
        <w:left w:w="57" w:type="dxa"/>
        <w:right w:w="57" w:type="dxa"/>
      </w:tblCellMar>
      <w:tblLook w:val="0000" w:firstRow="0" w:lastRow="0" w:firstColumn="0" w:lastColumn="0" w:noHBand="0" w:noVBand="0"/>
    </w:tblPr>
    <w:tblGrid>
      <w:gridCol w:w="1617"/>
      <w:gridCol w:w="4394"/>
      <w:gridCol w:w="3912"/>
    </w:tblGrid>
    <w:tr w:rsidR="0097693B">
      <w:trPr>
        <w:cantSplit/>
        <w:trHeight w:val="204"/>
        <w:jc w:val="center"/>
      </w:trPr>
      <w:tc>
        <w:tcPr>
          <w:tcW w:w="1617" w:type="dxa"/>
          <w:tcBorders>
            <w:top w:val="single" w:sz="12" w:space="0" w:color="auto"/>
          </w:tcBorders>
        </w:tcPr>
        <w:p w:rsidR="0097693B" w:rsidRDefault="0097693B" w:rsidP="00762576">
          <w:pPr>
            <w:rPr>
              <w:b/>
              <w:bCs/>
            </w:rPr>
          </w:pPr>
        </w:p>
      </w:tc>
      <w:tc>
        <w:tcPr>
          <w:tcW w:w="4394" w:type="dxa"/>
          <w:tcBorders>
            <w:top w:val="single" w:sz="12" w:space="0" w:color="auto"/>
          </w:tcBorders>
        </w:tcPr>
        <w:p w:rsidR="0097693B" w:rsidRDefault="0097693B" w:rsidP="00762576">
          <w:pPr>
            <w:rPr>
              <w:rFonts w:eastAsia="Batang"/>
            </w:rPr>
          </w:pPr>
        </w:p>
      </w:tc>
      <w:tc>
        <w:tcPr>
          <w:tcW w:w="3912" w:type="dxa"/>
          <w:tcBorders>
            <w:top w:val="single" w:sz="12" w:space="0" w:color="auto"/>
          </w:tcBorders>
        </w:tcPr>
        <w:p w:rsidR="0097693B" w:rsidRDefault="0097693B" w:rsidP="00762576">
          <w:pPr>
            <w:rPr>
              <w:lang w:eastAsia="ja-JP"/>
            </w:rPr>
          </w:pPr>
        </w:p>
      </w:tc>
    </w:tr>
  </w:tbl>
  <w:p w:rsidR="0097693B" w:rsidRDefault="00976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17B" w:rsidRDefault="002E717B">
      <w:r>
        <w:separator/>
      </w:r>
    </w:p>
  </w:footnote>
  <w:footnote w:type="continuationSeparator" w:id="0">
    <w:p w:rsidR="002E717B" w:rsidRDefault="002E7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93B" w:rsidRDefault="0097693B" w:rsidP="00C15633">
    <w:pPr>
      <w:pStyle w:val="Header"/>
      <w:tabs>
        <w:tab w:val="center" w:pos="4763"/>
        <w:tab w:val="left" w:pos="5820"/>
      </w:tabs>
      <w:rPr>
        <w:lang w:eastAsia="ko-KR"/>
      </w:rPr>
    </w:pPr>
    <w:r>
      <w:rPr>
        <w:lang w:eastAsia="ko-KR"/>
      </w:rPr>
      <w:tab/>
    </w:r>
  </w:p>
  <w:p w:rsidR="0097693B" w:rsidRDefault="0097693B" w:rsidP="00AD7E5F">
    <w:pPr>
      <w:pStyle w:val="Header"/>
      <w:tabs>
        <w:tab w:val="center" w:pos="4763"/>
        <w:tab w:val="left" w:pos="5820"/>
      </w:tabs>
      <w:rPr>
        <w:lang w:eastAsia="ko-K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1AB8"/>
    <w:multiLevelType w:val="hybridMultilevel"/>
    <w:tmpl w:val="69CA097E"/>
    <w:lvl w:ilvl="0" w:tplc="A114EBFA">
      <w:start w:val="1"/>
      <w:numFmt w:val="bullet"/>
      <w:lvlText w:val="-"/>
      <w:lvlJc w:val="left"/>
      <w:pPr>
        <w:ind w:left="720" w:hanging="360"/>
      </w:pPr>
      <w:rPr>
        <w:rFonts w:ascii="Malgun Gothic" w:eastAsia="Malgun Gothic" w:hAnsi="Malgun Gothic"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77B2B"/>
    <w:multiLevelType w:val="hybridMultilevel"/>
    <w:tmpl w:val="364C57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5E695D"/>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160"/>
        </w:tabs>
        <w:ind w:left="1160" w:hanging="360"/>
      </w:pPr>
      <w:rPr>
        <w:rFonts w:ascii="Symbol" w:hAnsi="Symbol"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 w15:restartNumberingAfterBreak="0">
    <w:nsid w:val="1E0848EE"/>
    <w:multiLevelType w:val="hybridMultilevel"/>
    <w:tmpl w:val="EFDC8FF6"/>
    <w:lvl w:ilvl="0" w:tplc="81F6568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520"/>
        </w:tabs>
        <w:ind w:left="1520" w:hanging="360"/>
      </w:pPr>
      <w:rPr>
        <w:rFonts w:ascii="Symbol" w:hAnsi="Symbol"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4" w15:restartNumberingAfterBreak="0">
    <w:nsid w:val="1F3E4FF9"/>
    <w:multiLevelType w:val="hybridMultilevel"/>
    <w:tmpl w:val="BD749D70"/>
    <w:lvl w:ilvl="0" w:tplc="0409000F">
      <w:start w:val="3"/>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21D34771"/>
    <w:multiLevelType w:val="hybridMultilevel"/>
    <w:tmpl w:val="764E0C76"/>
    <w:lvl w:ilvl="0" w:tplc="81F65682">
      <w:start w:val="1"/>
      <w:numFmt w:val="bullet"/>
      <w:lvlText w:val=""/>
      <w:lvlJc w:val="left"/>
      <w:pPr>
        <w:tabs>
          <w:tab w:val="num" w:pos="720"/>
        </w:tabs>
        <w:ind w:left="720" w:hanging="360"/>
      </w:pPr>
      <w:rPr>
        <w:rFonts w:ascii="Symbol" w:hAnsi="Symbol" w:hint="default"/>
      </w:rPr>
    </w:lvl>
    <w:lvl w:ilvl="1" w:tplc="722A45E8">
      <w:start w:val="2"/>
      <w:numFmt w:val="bullet"/>
      <w:suff w:val="space"/>
      <w:lvlText w:val="-"/>
      <w:lvlJc w:val="left"/>
      <w:pPr>
        <w:ind w:left="1340" w:hanging="180"/>
      </w:pPr>
      <w:rPr>
        <w:rFonts w:ascii="Times New Roman" w:eastAsia="GulimChe" w:hAnsi="Times New Roman" w:cs="Times New Roman"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6" w15:restartNumberingAfterBreak="0">
    <w:nsid w:val="234E178D"/>
    <w:multiLevelType w:val="multilevel"/>
    <w:tmpl w:val="234E17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001BAB"/>
    <w:multiLevelType w:val="hybridMultilevel"/>
    <w:tmpl w:val="53F8C2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15:restartNumberingAfterBreak="0">
    <w:nsid w:val="279242A1"/>
    <w:multiLevelType w:val="hybridMultilevel"/>
    <w:tmpl w:val="DB6C764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A7463F"/>
    <w:multiLevelType w:val="hybridMultilevel"/>
    <w:tmpl w:val="D2B878D4"/>
    <w:lvl w:ilvl="0" w:tplc="148491A4">
      <w:start w:val="4"/>
      <w:numFmt w:val="bullet"/>
      <w:lvlText w:val=""/>
      <w:lvlJc w:val="left"/>
      <w:pPr>
        <w:ind w:left="760" w:hanging="360"/>
      </w:pPr>
      <w:rPr>
        <w:rFonts w:ascii="Wingdings" w:eastAsia="BatangChe"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0641696"/>
    <w:multiLevelType w:val="hybridMultilevel"/>
    <w:tmpl w:val="EFDC8FF6"/>
    <w:lvl w:ilvl="0" w:tplc="81F6568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520"/>
        </w:tabs>
        <w:ind w:left="1520" w:hanging="360"/>
      </w:pPr>
      <w:rPr>
        <w:rFonts w:ascii="Symbol" w:hAnsi="Symbol"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11" w15:restartNumberingAfterBreak="0">
    <w:nsid w:val="36EE16D3"/>
    <w:multiLevelType w:val="hybridMultilevel"/>
    <w:tmpl w:val="764E0C76"/>
    <w:lvl w:ilvl="0" w:tplc="04090001">
      <w:start w:val="1"/>
      <w:numFmt w:val="bullet"/>
      <w:lvlText w:val=""/>
      <w:lvlJc w:val="left"/>
      <w:pPr>
        <w:tabs>
          <w:tab w:val="num" w:pos="360"/>
        </w:tabs>
        <w:ind w:left="360" w:hanging="360"/>
      </w:pPr>
      <w:rPr>
        <w:rFonts w:ascii="Symbol" w:hAnsi="Symbol" w:hint="default"/>
      </w:rPr>
    </w:lvl>
    <w:lvl w:ilvl="1" w:tplc="722A45E8">
      <w:start w:val="2"/>
      <w:numFmt w:val="bullet"/>
      <w:suff w:val="space"/>
      <w:lvlText w:val="-"/>
      <w:lvlJc w:val="left"/>
      <w:pPr>
        <w:ind w:left="980" w:hanging="180"/>
      </w:pPr>
      <w:rPr>
        <w:rFonts w:ascii="Times New Roman" w:eastAsia="GulimChe" w:hAnsi="Times New Roman" w:cs="Times New Roman"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15:restartNumberingAfterBreak="0">
    <w:nsid w:val="36F050AC"/>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3" w15:restartNumberingAfterBreak="0">
    <w:nsid w:val="3BBE1A4D"/>
    <w:multiLevelType w:val="hybridMultilevel"/>
    <w:tmpl w:val="C59C71E6"/>
    <w:lvl w:ilvl="0" w:tplc="918AD278">
      <w:start w:val="691"/>
      <w:numFmt w:val="bullet"/>
      <w:lvlText w:val="–"/>
      <w:lvlJc w:val="left"/>
      <w:pPr>
        <w:ind w:left="280" w:hanging="360"/>
      </w:pPr>
      <w:rPr>
        <w:rFonts w:ascii="Arial" w:hAnsi="Arial" w:hint="default"/>
      </w:rPr>
    </w:lvl>
    <w:lvl w:ilvl="1" w:tplc="04090003" w:tentative="1">
      <w:start w:val="1"/>
      <w:numFmt w:val="bullet"/>
      <w:lvlText w:val=""/>
      <w:lvlJc w:val="left"/>
      <w:pPr>
        <w:ind w:left="720" w:hanging="400"/>
      </w:pPr>
      <w:rPr>
        <w:rFonts w:ascii="Wingdings" w:hAnsi="Wingdings" w:hint="default"/>
      </w:rPr>
    </w:lvl>
    <w:lvl w:ilvl="2" w:tplc="04090005" w:tentative="1">
      <w:start w:val="1"/>
      <w:numFmt w:val="bullet"/>
      <w:lvlText w:val=""/>
      <w:lvlJc w:val="left"/>
      <w:pPr>
        <w:ind w:left="1120" w:hanging="400"/>
      </w:pPr>
      <w:rPr>
        <w:rFonts w:ascii="Wingdings" w:hAnsi="Wingdings" w:hint="default"/>
      </w:rPr>
    </w:lvl>
    <w:lvl w:ilvl="3" w:tplc="04090001" w:tentative="1">
      <w:start w:val="1"/>
      <w:numFmt w:val="bullet"/>
      <w:lvlText w:val=""/>
      <w:lvlJc w:val="left"/>
      <w:pPr>
        <w:ind w:left="1520" w:hanging="400"/>
      </w:pPr>
      <w:rPr>
        <w:rFonts w:ascii="Wingdings" w:hAnsi="Wingdings" w:hint="default"/>
      </w:rPr>
    </w:lvl>
    <w:lvl w:ilvl="4" w:tplc="04090003" w:tentative="1">
      <w:start w:val="1"/>
      <w:numFmt w:val="bullet"/>
      <w:lvlText w:val=""/>
      <w:lvlJc w:val="left"/>
      <w:pPr>
        <w:ind w:left="1920" w:hanging="400"/>
      </w:pPr>
      <w:rPr>
        <w:rFonts w:ascii="Wingdings" w:hAnsi="Wingdings" w:hint="default"/>
      </w:rPr>
    </w:lvl>
    <w:lvl w:ilvl="5" w:tplc="04090005" w:tentative="1">
      <w:start w:val="1"/>
      <w:numFmt w:val="bullet"/>
      <w:lvlText w:val=""/>
      <w:lvlJc w:val="left"/>
      <w:pPr>
        <w:ind w:left="2320" w:hanging="400"/>
      </w:pPr>
      <w:rPr>
        <w:rFonts w:ascii="Wingdings" w:hAnsi="Wingdings" w:hint="default"/>
      </w:rPr>
    </w:lvl>
    <w:lvl w:ilvl="6" w:tplc="04090001" w:tentative="1">
      <w:start w:val="1"/>
      <w:numFmt w:val="bullet"/>
      <w:lvlText w:val=""/>
      <w:lvlJc w:val="left"/>
      <w:pPr>
        <w:ind w:left="2720" w:hanging="400"/>
      </w:pPr>
      <w:rPr>
        <w:rFonts w:ascii="Wingdings" w:hAnsi="Wingdings" w:hint="default"/>
      </w:rPr>
    </w:lvl>
    <w:lvl w:ilvl="7" w:tplc="04090003" w:tentative="1">
      <w:start w:val="1"/>
      <w:numFmt w:val="bullet"/>
      <w:lvlText w:val=""/>
      <w:lvlJc w:val="left"/>
      <w:pPr>
        <w:ind w:left="3120" w:hanging="400"/>
      </w:pPr>
      <w:rPr>
        <w:rFonts w:ascii="Wingdings" w:hAnsi="Wingdings" w:hint="default"/>
      </w:rPr>
    </w:lvl>
    <w:lvl w:ilvl="8" w:tplc="04090005" w:tentative="1">
      <w:start w:val="1"/>
      <w:numFmt w:val="bullet"/>
      <w:lvlText w:val=""/>
      <w:lvlJc w:val="left"/>
      <w:pPr>
        <w:ind w:left="3520" w:hanging="400"/>
      </w:pPr>
      <w:rPr>
        <w:rFonts w:ascii="Wingdings" w:hAnsi="Wingdings" w:hint="default"/>
      </w:rPr>
    </w:lvl>
  </w:abstractNum>
  <w:abstractNum w:abstractNumId="14" w15:restartNumberingAfterBreak="0">
    <w:nsid w:val="3E2C5B12"/>
    <w:multiLevelType w:val="hybridMultilevel"/>
    <w:tmpl w:val="FDD0D854"/>
    <w:lvl w:ilvl="0" w:tplc="A114EBFA">
      <w:start w:val="1"/>
      <w:numFmt w:val="bullet"/>
      <w:lvlText w:val="-"/>
      <w:lvlJc w:val="left"/>
      <w:pPr>
        <w:ind w:left="720" w:hanging="360"/>
      </w:pPr>
      <w:rPr>
        <w:rFonts w:ascii="Malgun Gothic" w:eastAsia="Malgun Gothic" w:hAnsi="Malgun Gothic"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D50161"/>
    <w:multiLevelType w:val="hybridMultilevel"/>
    <w:tmpl w:val="4AC00804"/>
    <w:lvl w:ilvl="0" w:tplc="D444CB4C">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0A1016"/>
    <w:multiLevelType w:val="hybridMultilevel"/>
    <w:tmpl w:val="2B2CC548"/>
    <w:lvl w:ilvl="0" w:tplc="B816B436">
      <w:start w:val="1"/>
      <w:numFmt w:val="bullet"/>
      <w:lvlText w:val="-"/>
      <w:lvlJc w:val="left"/>
      <w:pPr>
        <w:ind w:left="720" w:hanging="360"/>
      </w:pPr>
      <w:rPr>
        <w:rFonts w:ascii="Times New Roman" w:eastAsia="BatangChe"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8964AC5"/>
    <w:multiLevelType w:val="hybridMultilevel"/>
    <w:tmpl w:val="654C76EA"/>
    <w:lvl w:ilvl="0" w:tplc="874E3272">
      <w:start w:val="1"/>
      <w:numFmt w:val="bullet"/>
      <w:lvlText w:val="•"/>
      <w:lvlJc w:val="left"/>
      <w:pPr>
        <w:tabs>
          <w:tab w:val="num" w:pos="720"/>
        </w:tabs>
        <w:ind w:left="720" w:hanging="360"/>
      </w:pPr>
      <w:rPr>
        <w:rFonts w:ascii="Arial" w:hAnsi="Arial" w:hint="default"/>
      </w:rPr>
    </w:lvl>
    <w:lvl w:ilvl="1" w:tplc="918AD278">
      <w:start w:val="691"/>
      <w:numFmt w:val="bullet"/>
      <w:lvlText w:val="–"/>
      <w:lvlJc w:val="left"/>
      <w:pPr>
        <w:tabs>
          <w:tab w:val="num" w:pos="1440"/>
        </w:tabs>
        <w:ind w:left="1440" w:hanging="360"/>
      </w:pPr>
      <w:rPr>
        <w:rFonts w:ascii="Arial" w:hAnsi="Arial" w:hint="default"/>
      </w:rPr>
    </w:lvl>
    <w:lvl w:ilvl="2" w:tplc="C86A2FEE" w:tentative="1">
      <w:start w:val="1"/>
      <w:numFmt w:val="bullet"/>
      <w:lvlText w:val="•"/>
      <w:lvlJc w:val="left"/>
      <w:pPr>
        <w:tabs>
          <w:tab w:val="num" w:pos="2160"/>
        </w:tabs>
        <w:ind w:left="2160" w:hanging="360"/>
      </w:pPr>
      <w:rPr>
        <w:rFonts w:ascii="Arial" w:hAnsi="Arial" w:hint="default"/>
      </w:rPr>
    </w:lvl>
    <w:lvl w:ilvl="3" w:tplc="206ACD70" w:tentative="1">
      <w:start w:val="1"/>
      <w:numFmt w:val="bullet"/>
      <w:lvlText w:val="•"/>
      <w:lvlJc w:val="left"/>
      <w:pPr>
        <w:tabs>
          <w:tab w:val="num" w:pos="2880"/>
        </w:tabs>
        <w:ind w:left="2880" w:hanging="360"/>
      </w:pPr>
      <w:rPr>
        <w:rFonts w:ascii="Arial" w:hAnsi="Arial" w:hint="default"/>
      </w:rPr>
    </w:lvl>
    <w:lvl w:ilvl="4" w:tplc="FA98326C" w:tentative="1">
      <w:start w:val="1"/>
      <w:numFmt w:val="bullet"/>
      <w:lvlText w:val="•"/>
      <w:lvlJc w:val="left"/>
      <w:pPr>
        <w:tabs>
          <w:tab w:val="num" w:pos="3600"/>
        </w:tabs>
        <w:ind w:left="3600" w:hanging="360"/>
      </w:pPr>
      <w:rPr>
        <w:rFonts w:ascii="Arial" w:hAnsi="Arial" w:hint="default"/>
      </w:rPr>
    </w:lvl>
    <w:lvl w:ilvl="5" w:tplc="A5E23D34" w:tentative="1">
      <w:start w:val="1"/>
      <w:numFmt w:val="bullet"/>
      <w:lvlText w:val="•"/>
      <w:lvlJc w:val="left"/>
      <w:pPr>
        <w:tabs>
          <w:tab w:val="num" w:pos="4320"/>
        </w:tabs>
        <w:ind w:left="4320" w:hanging="360"/>
      </w:pPr>
      <w:rPr>
        <w:rFonts w:ascii="Arial" w:hAnsi="Arial" w:hint="default"/>
      </w:rPr>
    </w:lvl>
    <w:lvl w:ilvl="6" w:tplc="80B8B0B2" w:tentative="1">
      <w:start w:val="1"/>
      <w:numFmt w:val="bullet"/>
      <w:lvlText w:val="•"/>
      <w:lvlJc w:val="left"/>
      <w:pPr>
        <w:tabs>
          <w:tab w:val="num" w:pos="5040"/>
        </w:tabs>
        <w:ind w:left="5040" w:hanging="360"/>
      </w:pPr>
      <w:rPr>
        <w:rFonts w:ascii="Arial" w:hAnsi="Arial" w:hint="default"/>
      </w:rPr>
    </w:lvl>
    <w:lvl w:ilvl="7" w:tplc="0CAEC926" w:tentative="1">
      <w:start w:val="1"/>
      <w:numFmt w:val="bullet"/>
      <w:lvlText w:val="•"/>
      <w:lvlJc w:val="left"/>
      <w:pPr>
        <w:tabs>
          <w:tab w:val="num" w:pos="5760"/>
        </w:tabs>
        <w:ind w:left="5760" w:hanging="360"/>
      </w:pPr>
      <w:rPr>
        <w:rFonts w:ascii="Arial" w:hAnsi="Arial" w:hint="default"/>
      </w:rPr>
    </w:lvl>
    <w:lvl w:ilvl="8" w:tplc="603C60D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B1F05F1"/>
    <w:multiLevelType w:val="hybridMultilevel"/>
    <w:tmpl w:val="96F85162"/>
    <w:lvl w:ilvl="0" w:tplc="08090011">
      <w:start w:val="1"/>
      <w:numFmt w:val="decimal"/>
      <w:lvlText w:val="%1)"/>
      <w:lvlJc w:val="left"/>
      <w:pPr>
        <w:tabs>
          <w:tab w:val="num" w:pos="780"/>
        </w:tabs>
        <w:ind w:left="78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5C1725CB"/>
    <w:multiLevelType w:val="hybridMultilevel"/>
    <w:tmpl w:val="4A2E2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8A1258"/>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1" w15:restartNumberingAfterBreak="0">
    <w:nsid w:val="74F36918"/>
    <w:multiLevelType w:val="hybridMultilevel"/>
    <w:tmpl w:val="1F462B02"/>
    <w:lvl w:ilvl="0" w:tplc="5E1A8D2A">
      <w:start w:val="4"/>
      <w:numFmt w:val="bullet"/>
      <w:lvlText w:val=""/>
      <w:lvlJc w:val="left"/>
      <w:pPr>
        <w:ind w:left="760" w:hanging="360"/>
      </w:pPr>
      <w:rPr>
        <w:rFonts w:ascii="Wingdings" w:eastAsia="BatangChe"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7A2C3B6C"/>
    <w:multiLevelType w:val="singleLevel"/>
    <w:tmpl w:val="A01AB2EA"/>
    <w:lvl w:ilvl="0">
      <w:start w:val="1"/>
      <w:numFmt w:val="decimal"/>
      <w:lvlText w:val="%1.  "/>
      <w:legacy w:legacy="1" w:legacySpace="0" w:legacyIndent="283"/>
      <w:lvlJc w:val="left"/>
      <w:pPr>
        <w:ind w:left="283" w:hanging="283"/>
      </w:pPr>
    </w:lvl>
  </w:abstractNum>
  <w:abstractNum w:abstractNumId="23" w15:restartNumberingAfterBreak="0">
    <w:nsid w:val="7A613B19"/>
    <w:multiLevelType w:val="hybridMultilevel"/>
    <w:tmpl w:val="96F85162"/>
    <w:lvl w:ilvl="0" w:tplc="08090011">
      <w:start w:val="1"/>
      <w:numFmt w:val="decimal"/>
      <w:lvlText w:val="%1)"/>
      <w:lvlJc w:val="left"/>
      <w:pPr>
        <w:tabs>
          <w:tab w:val="num" w:pos="780"/>
        </w:tabs>
        <w:ind w:left="78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11"/>
  </w:num>
  <w:num w:numId="2">
    <w:abstractNumId w:val="7"/>
  </w:num>
  <w:num w:numId="3">
    <w:abstractNumId w:val="5"/>
  </w:num>
  <w:num w:numId="4">
    <w:abstractNumId w:val="20"/>
  </w:num>
  <w:num w:numId="5">
    <w:abstractNumId w:val="10"/>
  </w:num>
  <w:num w:numId="6">
    <w:abstractNumId w:val="12"/>
  </w:num>
  <w:num w:numId="7">
    <w:abstractNumId w:val="3"/>
  </w:num>
  <w:num w:numId="8">
    <w:abstractNumId w:val="2"/>
  </w:num>
  <w:num w:numId="9">
    <w:abstractNumId w:val="22"/>
  </w:num>
  <w:num w:numId="10">
    <w:abstractNumId w:val="19"/>
  </w:num>
  <w:num w:numId="11">
    <w:abstractNumId w:val="4"/>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3"/>
  </w:num>
  <w:num w:numId="17">
    <w:abstractNumId w:val="18"/>
  </w:num>
  <w:num w:numId="18">
    <w:abstractNumId w:val="13"/>
  </w:num>
  <w:num w:numId="19">
    <w:abstractNumId w:val="21"/>
  </w:num>
  <w:num w:numId="20">
    <w:abstractNumId w:val="9"/>
  </w:num>
  <w:num w:numId="21">
    <w:abstractNumId w:val="17"/>
  </w:num>
  <w:num w:numId="22">
    <w:abstractNumId w:val="14"/>
  </w:num>
  <w:num w:numId="23">
    <w:abstractNumId w:val="0"/>
  </w:num>
  <w:num w:numId="24">
    <w:abstractNumId w:val="1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633"/>
    <w:rsid w:val="00001FD1"/>
    <w:rsid w:val="000077F4"/>
    <w:rsid w:val="00010C8E"/>
    <w:rsid w:val="00016652"/>
    <w:rsid w:val="00017132"/>
    <w:rsid w:val="00021C3D"/>
    <w:rsid w:val="0003595B"/>
    <w:rsid w:val="00036517"/>
    <w:rsid w:val="00036CC9"/>
    <w:rsid w:val="000426A6"/>
    <w:rsid w:val="000513C7"/>
    <w:rsid w:val="00057C92"/>
    <w:rsid w:val="00064EE7"/>
    <w:rsid w:val="00070642"/>
    <w:rsid w:val="00071351"/>
    <w:rsid w:val="000713CF"/>
    <w:rsid w:val="00075C14"/>
    <w:rsid w:val="000822B5"/>
    <w:rsid w:val="00094B87"/>
    <w:rsid w:val="000A012B"/>
    <w:rsid w:val="000A5418"/>
    <w:rsid w:val="000A63FE"/>
    <w:rsid w:val="000D6A3A"/>
    <w:rsid w:val="000E132B"/>
    <w:rsid w:val="000E4EAF"/>
    <w:rsid w:val="000E5273"/>
    <w:rsid w:val="000F32F0"/>
    <w:rsid w:val="000F345F"/>
    <w:rsid w:val="000F517C"/>
    <w:rsid w:val="000F5540"/>
    <w:rsid w:val="000F5E74"/>
    <w:rsid w:val="00105F1A"/>
    <w:rsid w:val="001320AC"/>
    <w:rsid w:val="00140025"/>
    <w:rsid w:val="001409B2"/>
    <w:rsid w:val="00142AD2"/>
    <w:rsid w:val="00151630"/>
    <w:rsid w:val="00152636"/>
    <w:rsid w:val="001539DD"/>
    <w:rsid w:val="00156782"/>
    <w:rsid w:val="001601EA"/>
    <w:rsid w:val="0016416D"/>
    <w:rsid w:val="00172412"/>
    <w:rsid w:val="001731F4"/>
    <w:rsid w:val="001869A2"/>
    <w:rsid w:val="00186E94"/>
    <w:rsid w:val="00187926"/>
    <w:rsid w:val="00192A1E"/>
    <w:rsid w:val="00196568"/>
    <w:rsid w:val="00197C18"/>
    <w:rsid w:val="001A2F16"/>
    <w:rsid w:val="001A3F82"/>
    <w:rsid w:val="001B1804"/>
    <w:rsid w:val="001B18C2"/>
    <w:rsid w:val="001B7CC0"/>
    <w:rsid w:val="001C61A5"/>
    <w:rsid w:val="001C6707"/>
    <w:rsid w:val="001D5D7E"/>
    <w:rsid w:val="001F5947"/>
    <w:rsid w:val="00200DB3"/>
    <w:rsid w:val="00202410"/>
    <w:rsid w:val="00211910"/>
    <w:rsid w:val="00214A0C"/>
    <w:rsid w:val="0021588B"/>
    <w:rsid w:val="00220345"/>
    <w:rsid w:val="002216AC"/>
    <w:rsid w:val="00231CB4"/>
    <w:rsid w:val="002506D2"/>
    <w:rsid w:val="00250DE2"/>
    <w:rsid w:val="00254A1B"/>
    <w:rsid w:val="0026064A"/>
    <w:rsid w:val="0026355D"/>
    <w:rsid w:val="00265DA3"/>
    <w:rsid w:val="002715FD"/>
    <w:rsid w:val="0028039A"/>
    <w:rsid w:val="0028454D"/>
    <w:rsid w:val="00286BE7"/>
    <w:rsid w:val="00291C9E"/>
    <w:rsid w:val="002926D4"/>
    <w:rsid w:val="00294BE8"/>
    <w:rsid w:val="002B06A3"/>
    <w:rsid w:val="002B435C"/>
    <w:rsid w:val="002B447F"/>
    <w:rsid w:val="002C07DA"/>
    <w:rsid w:val="002C52BC"/>
    <w:rsid w:val="002C7EA9"/>
    <w:rsid w:val="002E717B"/>
    <w:rsid w:val="002F48DF"/>
    <w:rsid w:val="002F540A"/>
    <w:rsid w:val="002F575D"/>
    <w:rsid w:val="002F5A8A"/>
    <w:rsid w:val="003113D7"/>
    <w:rsid w:val="00311E8A"/>
    <w:rsid w:val="00342F20"/>
    <w:rsid w:val="00351F43"/>
    <w:rsid w:val="0035284E"/>
    <w:rsid w:val="00357F18"/>
    <w:rsid w:val="00360377"/>
    <w:rsid w:val="00366548"/>
    <w:rsid w:val="003710D0"/>
    <w:rsid w:val="003809C7"/>
    <w:rsid w:val="0038236C"/>
    <w:rsid w:val="00384FFB"/>
    <w:rsid w:val="00391E8E"/>
    <w:rsid w:val="00395B40"/>
    <w:rsid w:val="003A6568"/>
    <w:rsid w:val="003B449C"/>
    <w:rsid w:val="003B6263"/>
    <w:rsid w:val="003C2663"/>
    <w:rsid w:val="003C26C5"/>
    <w:rsid w:val="003C29E6"/>
    <w:rsid w:val="003C64A7"/>
    <w:rsid w:val="003D1671"/>
    <w:rsid w:val="003D3FDA"/>
    <w:rsid w:val="003D6D00"/>
    <w:rsid w:val="003E138F"/>
    <w:rsid w:val="003E166F"/>
    <w:rsid w:val="004001E5"/>
    <w:rsid w:val="00400693"/>
    <w:rsid w:val="004011D8"/>
    <w:rsid w:val="00404A76"/>
    <w:rsid w:val="00420822"/>
    <w:rsid w:val="00420C74"/>
    <w:rsid w:val="004465AA"/>
    <w:rsid w:val="0045458F"/>
    <w:rsid w:val="004633B4"/>
    <w:rsid w:val="004724EB"/>
    <w:rsid w:val="00492FF8"/>
    <w:rsid w:val="004A2F96"/>
    <w:rsid w:val="004A674E"/>
    <w:rsid w:val="004A77E6"/>
    <w:rsid w:val="004B3553"/>
    <w:rsid w:val="004B3F4B"/>
    <w:rsid w:val="004E06C2"/>
    <w:rsid w:val="004E2F8F"/>
    <w:rsid w:val="004E33DC"/>
    <w:rsid w:val="004E5D13"/>
    <w:rsid w:val="004E76A3"/>
    <w:rsid w:val="00503189"/>
    <w:rsid w:val="005064B4"/>
    <w:rsid w:val="00526D01"/>
    <w:rsid w:val="00530E8C"/>
    <w:rsid w:val="00530F6C"/>
    <w:rsid w:val="00533DD1"/>
    <w:rsid w:val="00545933"/>
    <w:rsid w:val="00552105"/>
    <w:rsid w:val="005562F2"/>
    <w:rsid w:val="00557544"/>
    <w:rsid w:val="00565BBB"/>
    <w:rsid w:val="005662A7"/>
    <w:rsid w:val="005662BC"/>
    <w:rsid w:val="00571D72"/>
    <w:rsid w:val="00585F3C"/>
    <w:rsid w:val="00586CA0"/>
    <w:rsid w:val="00587875"/>
    <w:rsid w:val="00597F3F"/>
    <w:rsid w:val="005A080D"/>
    <w:rsid w:val="005A63EB"/>
    <w:rsid w:val="005B33B3"/>
    <w:rsid w:val="005C33B6"/>
    <w:rsid w:val="005C46A7"/>
    <w:rsid w:val="005C7480"/>
    <w:rsid w:val="005D6202"/>
    <w:rsid w:val="005D6E98"/>
    <w:rsid w:val="005E24CE"/>
    <w:rsid w:val="005E5C1B"/>
    <w:rsid w:val="005E7FA5"/>
    <w:rsid w:val="005F4CC8"/>
    <w:rsid w:val="00607E2B"/>
    <w:rsid w:val="0061329B"/>
    <w:rsid w:val="006139D6"/>
    <w:rsid w:val="006157EE"/>
    <w:rsid w:val="00616D1B"/>
    <w:rsid w:val="006231D2"/>
    <w:rsid w:val="00623CE1"/>
    <w:rsid w:val="00630273"/>
    <w:rsid w:val="0063062B"/>
    <w:rsid w:val="00637351"/>
    <w:rsid w:val="00646166"/>
    <w:rsid w:val="00646CED"/>
    <w:rsid w:val="00647DD0"/>
    <w:rsid w:val="0065024C"/>
    <w:rsid w:val="00654896"/>
    <w:rsid w:val="006621F0"/>
    <w:rsid w:val="0066262F"/>
    <w:rsid w:val="006647BA"/>
    <w:rsid w:val="00667229"/>
    <w:rsid w:val="00682BE5"/>
    <w:rsid w:val="00690FED"/>
    <w:rsid w:val="006939A5"/>
    <w:rsid w:val="006A16FF"/>
    <w:rsid w:val="006A4D36"/>
    <w:rsid w:val="006B4716"/>
    <w:rsid w:val="006B7298"/>
    <w:rsid w:val="006C45D4"/>
    <w:rsid w:val="006D5223"/>
    <w:rsid w:val="006E12FC"/>
    <w:rsid w:val="006E73E8"/>
    <w:rsid w:val="006F2B2E"/>
    <w:rsid w:val="00705962"/>
    <w:rsid w:val="00707C21"/>
    <w:rsid w:val="00712451"/>
    <w:rsid w:val="00717DE9"/>
    <w:rsid w:val="0072518B"/>
    <w:rsid w:val="0073081A"/>
    <w:rsid w:val="00731041"/>
    <w:rsid w:val="007329E4"/>
    <w:rsid w:val="00732F08"/>
    <w:rsid w:val="007342F0"/>
    <w:rsid w:val="00736E38"/>
    <w:rsid w:val="0074190C"/>
    <w:rsid w:val="0074765F"/>
    <w:rsid w:val="00753EDE"/>
    <w:rsid w:val="00757B38"/>
    <w:rsid w:val="00762576"/>
    <w:rsid w:val="00766922"/>
    <w:rsid w:val="007673CA"/>
    <w:rsid w:val="00767A2E"/>
    <w:rsid w:val="0077719A"/>
    <w:rsid w:val="0078583D"/>
    <w:rsid w:val="00791060"/>
    <w:rsid w:val="00795D7D"/>
    <w:rsid w:val="007A1F43"/>
    <w:rsid w:val="007B0104"/>
    <w:rsid w:val="007B5626"/>
    <w:rsid w:val="007B6124"/>
    <w:rsid w:val="007C0F4A"/>
    <w:rsid w:val="007D3C53"/>
    <w:rsid w:val="007F2628"/>
    <w:rsid w:val="007F2FBA"/>
    <w:rsid w:val="00800C3A"/>
    <w:rsid w:val="0080570B"/>
    <w:rsid w:val="008148E1"/>
    <w:rsid w:val="008319BF"/>
    <w:rsid w:val="00832EC5"/>
    <w:rsid w:val="00842764"/>
    <w:rsid w:val="008433C2"/>
    <w:rsid w:val="00844457"/>
    <w:rsid w:val="008454C8"/>
    <w:rsid w:val="00851D78"/>
    <w:rsid w:val="00863CDF"/>
    <w:rsid w:val="008843AB"/>
    <w:rsid w:val="00895994"/>
    <w:rsid w:val="008A1A0D"/>
    <w:rsid w:val="008A76ED"/>
    <w:rsid w:val="008B3C72"/>
    <w:rsid w:val="008B580C"/>
    <w:rsid w:val="008C7D24"/>
    <w:rsid w:val="008D0E09"/>
    <w:rsid w:val="008F502F"/>
    <w:rsid w:val="00901F50"/>
    <w:rsid w:val="00903007"/>
    <w:rsid w:val="00923816"/>
    <w:rsid w:val="0093074B"/>
    <w:rsid w:val="00930E64"/>
    <w:rsid w:val="00931D50"/>
    <w:rsid w:val="00935F8C"/>
    <w:rsid w:val="009503BC"/>
    <w:rsid w:val="00956F8C"/>
    <w:rsid w:val="00957741"/>
    <w:rsid w:val="00961D57"/>
    <w:rsid w:val="009627CE"/>
    <w:rsid w:val="00962C0D"/>
    <w:rsid w:val="00970ABE"/>
    <w:rsid w:val="00971ACE"/>
    <w:rsid w:val="0097519F"/>
    <w:rsid w:val="00976716"/>
    <w:rsid w:val="0097693B"/>
    <w:rsid w:val="0098672C"/>
    <w:rsid w:val="00993355"/>
    <w:rsid w:val="009948F5"/>
    <w:rsid w:val="0099525B"/>
    <w:rsid w:val="009963F7"/>
    <w:rsid w:val="009A05C6"/>
    <w:rsid w:val="009A3B99"/>
    <w:rsid w:val="009A4A6D"/>
    <w:rsid w:val="009A72B7"/>
    <w:rsid w:val="009B6348"/>
    <w:rsid w:val="009B7E42"/>
    <w:rsid w:val="009C37F0"/>
    <w:rsid w:val="009D3CDB"/>
    <w:rsid w:val="009E13DD"/>
    <w:rsid w:val="009E2684"/>
    <w:rsid w:val="009F653D"/>
    <w:rsid w:val="00A03A58"/>
    <w:rsid w:val="00A0503B"/>
    <w:rsid w:val="00A05C8C"/>
    <w:rsid w:val="00A06574"/>
    <w:rsid w:val="00A077ED"/>
    <w:rsid w:val="00A13265"/>
    <w:rsid w:val="00A14900"/>
    <w:rsid w:val="00A2159F"/>
    <w:rsid w:val="00A240D9"/>
    <w:rsid w:val="00A3046D"/>
    <w:rsid w:val="00A3594D"/>
    <w:rsid w:val="00A45247"/>
    <w:rsid w:val="00A529BC"/>
    <w:rsid w:val="00A5346C"/>
    <w:rsid w:val="00A562F0"/>
    <w:rsid w:val="00A564FB"/>
    <w:rsid w:val="00A614C1"/>
    <w:rsid w:val="00A61EA6"/>
    <w:rsid w:val="00A66B1F"/>
    <w:rsid w:val="00A71136"/>
    <w:rsid w:val="00A77CD2"/>
    <w:rsid w:val="00A811DD"/>
    <w:rsid w:val="00A87C53"/>
    <w:rsid w:val="00A904E0"/>
    <w:rsid w:val="00A911F6"/>
    <w:rsid w:val="00A96DCE"/>
    <w:rsid w:val="00AA07A4"/>
    <w:rsid w:val="00AA474C"/>
    <w:rsid w:val="00AC2516"/>
    <w:rsid w:val="00AC35EF"/>
    <w:rsid w:val="00AD2697"/>
    <w:rsid w:val="00AD5266"/>
    <w:rsid w:val="00AD7E5F"/>
    <w:rsid w:val="00AE3066"/>
    <w:rsid w:val="00AE77A5"/>
    <w:rsid w:val="00AE7890"/>
    <w:rsid w:val="00AF0E91"/>
    <w:rsid w:val="00AF68E4"/>
    <w:rsid w:val="00B00DF7"/>
    <w:rsid w:val="00B00EA1"/>
    <w:rsid w:val="00B0152A"/>
    <w:rsid w:val="00B01AA1"/>
    <w:rsid w:val="00B1388C"/>
    <w:rsid w:val="00B30C81"/>
    <w:rsid w:val="00B4793B"/>
    <w:rsid w:val="00B63817"/>
    <w:rsid w:val="00B64A60"/>
    <w:rsid w:val="00B84596"/>
    <w:rsid w:val="00B937D7"/>
    <w:rsid w:val="00B96B67"/>
    <w:rsid w:val="00B96D1B"/>
    <w:rsid w:val="00BA021C"/>
    <w:rsid w:val="00BB456A"/>
    <w:rsid w:val="00BB67B0"/>
    <w:rsid w:val="00BC23A4"/>
    <w:rsid w:val="00BC57EF"/>
    <w:rsid w:val="00BE60AD"/>
    <w:rsid w:val="00BF25F9"/>
    <w:rsid w:val="00BF3E73"/>
    <w:rsid w:val="00C06C55"/>
    <w:rsid w:val="00C11091"/>
    <w:rsid w:val="00C13FD5"/>
    <w:rsid w:val="00C15633"/>
    <w:rsid w:val="00C15799"/>
    <w:rsid w:val="00C32E84"/>
    <w:rsid w:val="00C35415"/>
    <w:rsid w:val="00C357AD"/>
    <w:rsid w:val="00C50EE0"/>
    <w:rsid w:val="00C554CC"/>
    <w:rsid w:val="00C56E31"/>
    <w:rsid w:val="00C6069C"/>
    <w:rsid w:val="00C63AE1"/>
    <w:rsid w:val="00C7052A"/>
    <w:rsid w:val="00C72485"/>
    <w:rsid w:val="00C74745"/>
    <w:rsid w:val="00C85119"/>
    <w:rsid w:val="00C9284F"/>
    <w:rsid w:val="00CA03DB"/>
    <w:rsid w:val="00CA3CD8"/>
    <w:rsid w:val="00CB3277"/>
    <w:rsid w:val="00CC2414"/>
    <w:rsid w:val="00CC6684"/>
    <w:rsid w:val="00CC70AC"/>
    <w:rsid w:val="00CD12F7"/>
    <w:rsid w:val="00CD320B"/>
    <w:rsid w:val="00CD3F37"/>
    <w:rsid w:val="00CD5431"/>
    <w:rsid w:val="00CE1934"/>
    <w:rsid w:val="00CE4B93"/>
    <w:rsid w:val="00CF2491"/>
    <w:rsid w:val="00CF3963"/>
    <w:rsid w:val="00CF49FC"/>
    <w:rsid w:val="00D1252E"/>
    <w:rsid w:val="00D12EC0"/>
    <w:rsid w:val="00D13D9D"/>
    <w:rsid w:val="00D164DB"/>
    <w:rsid w:val="00D25BEB"/>
    <w:rsid w:val="00D33D9C"/>
    <w:rsid w:val="00D40C2C"/>
    <w:rsid w:val="00D459A2"/>
    <w:rsid w:val="00D45E39"/>
    <w:rsid w:val="00D530FF"/>
    <w:rsid w:val="00D53688"/>
    <w:rsid w:val="00D5407A"/>
    <w:rsid w:val="00D57772"/>
    <w:rsid w:val="00D57E56"/>
    <w:rsid w:val="00D72AE3"/>
    <w:rsid w:val="00D74FE8"/>
    <w:rsid w:val="00D75A4D"/>
    <w:rsid w:val="00D7734F"/>
    <w:rsid w:val="00D8478B"/>
    <w:rsid w:val="00D86151"/>
    <w:rsid w:val="00D9172D"/>
    <w:rsid w:val="00DA7595"/>
    <w:rsid w:val="00DB0A68"/>
    <w:rsid w:val="00DC43A3"/>
    <w:rsid w:val="00DC4AF5"/>
    <w:rsid w:val="00DC4CF3"/>
    <w:rsid w:val="00DC5C01"/>
    <w:rsid w:val="00DD7C09"/>
    <w:rsid w:val="00DE46BD"/>
    <w:rsid w:val="00E0124F"/>
    <w:rsid w:val="00E14CFF"/>
    <w:rsid w:val="00E444F4"/>
    <w:rsid w:val="00E51771"/>
    <w:rsid w:val="00E57DCC"/>
    <w:rsid w:val="00E64D6D"/>
    <w:rsid w:val="00E663E7"/>
    <w:rsid w:val="00E674D3"/>
    <w:rsid w:val="00E70FD0"/>
    <w:rsid w:val="00E77C4B"/>
    <w:rsid w:val="00E9301F"/>
    <w:rsid w:val="00E943E0"/>
    <w:rsid w:val="00E9690A"/>
    <w:rsid w:val="00E97DC7"/>
    <w:rsid w:val="00EA47C3"/>
    <w:rsid w:val="00EA748A"/>
    <w:rsid w:val="00EC0DA6"/>
    <w:rsid w:val="00EF31D3"/>
    <w:rsid w:val="00F000EF"/>
    <w:rsid w:val="00F02A0D"/>
    <w:rsid w:val="00F05EE3"/>
    <w:rsid w:val="00F2504E"/>
    <w:rsid w:val="00F2585B"/>
    <w:rsid w:val="00F25E11"/>
    <w:rsid w:val="00F312C7"/>
    <w:rsid w:val="00F4053F"/>
    <w:rsid w:val="00F45A0E"/>
    <w:rsid w:val="00F516E7"/>
    <w:rsid w:val="00F52671"/>
    <w:rsid w:val="00F53739"/>
    <w:rsid w:val="00F57BF7"/>
    <w:rsid w:val="00F61450"/>
    <w:rsid w:val="00F6263E"/>
    <w:rsid w:val="00F627C2"/>
    <w:rsid w:val="00F63759"/>
    <w:rsid w:val="00F84067"/>
    <w:rsid w:val="00F93426"/>
    <w:rsid w:val="00FA50B4"/>
    <w:rsid w:val="00FB0043"/>
    <w:rsid w:val="00FB3716"/>
    <w:rsid w:val="00FC156A"/>
    <w:rsid w:val="00FD1A60"/>
    <w:rsid w:val="00FD2AAB"/>
    <w:rsid w:val="00FD4064"/>
    <w:rsid w:val="00FD6235"/>
    <w:rsid w:val="00FD6381"/>
    <w:rsid w:val="00FE3D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3514AB-CC10-46C9-9356-283CDE80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595"/>
    <w:rPr>
      <w:rFonts w:eastAsia="BatangChe"/>
      <w:sz w:val="24"/>
      <w:szCs w:val="24"/>
    </w:rPr>
  </w:style>
  <w:style w:type="paragraph" w:styleId="Heading1">
    <w:name w:val="heading 1"/>
    <w:basedOn w:val="Normal"/>
    <w:next w:val="Normal"/>
    <w:qFormat/>
    <w:rsid w:val="00DA7595"/>
    <w:pPr>
      <w:keepNext/>
      <w:jc w:val="center"/>
      <w:outlineLvl w:val="0"/>
    </w:pPr>
    <w:rPr>
      <w:b/>
      <w:bCs/>
      <w:u w:val="single"/>
    </w:rPr>
  </w:style>
  <w:style w:type="paragraph" w:styleId="Heading8">
    <w:name w:val="heading 8"/>
    <w:basedOn w:val="Normal"/>
    <w:next w:val="Normal"/>
    <w:qFormat/>
    <w:rsid w:val="00DA7595"/>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7595"/>
    <w:pPr>
      <w:tabs>
        <w:tab w:val="center" w:pos="4320"/>
        <w:tab w:val="right" w:pos="8640"/>
      </w:tabs>
    </w:pPr>
  </w:style>
  <w:style w:type="paragraph" w:customStyle="1" w:styleId="a">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lang w:val="en-GB"/>
    </w:rPr>
  </w:style>
  <w:style w:type="paragraph" w:styleId="ListParagraph">
    <w:name w:val="List Paragraph"/>
    <w:basedOn w:val="Normal"/>
    <w:uiPriority w:val="34"/>
    <w:qFormat/>
    <w:rsid w:val="001F5947"/>
    <w:pPr>
      <w:ind w:left="720"/>
    </w:pPr>
  </w:style>
  <w:style w:type="character" w:styleId="Strong">
    <w:name w:val="Strong"/>
    <w:basedOn w:val="DefaultParagraphFont"/>
    <w:uiPriority w:val="22"/>
    <w:qFormat/>
    <w:rsid w:val="001F5947"/>
    <w:rPr>
      <w:b/>
      <w:bCs/>
    </w:rPr>
  </w:style>
  <w:style w:type="paragraph" w:styleId="BalloonText">
    <w:name w:val="Balloon Text"/>
    <w:basedOn w:val="Normal"/>
    <w:link w:val="BalloonTextChar"/>
    <w:semiHidden/>
    <w:unhideWhenUsed/>
    <w:rsid w:val="00250DE2"/>
    <w:rPr>
      <w:rFonts w:ascii="Tahoma" w:hAnsi="Tahoma" w:cs="Tahoma"/>
      <w:sz w:val="16"/>
      <w:szCs w:val="16"/>
    </w:rPr>
  </w:style>
  <w:style w:type="character" w:customStyle="1" w:styleId="BalloonTextChar">
    <w:name w:val="Balloon Text Char"/>
    <w:basedOn w:val="DefaultParagraphFont"/>
    <w:link w:val="BalloonText"/>
    <w:semiHidden/>
    <w:rsid w:val="00250DE2"/>
    <w:rPr>
      <w:rFonts w:ascii="Tahoma" w:eastAsia="BatangChe" w:hAnsi="Tahoma" w:cs="Tahoma"/>
      <w:sz w:val="16"/>
      <w:szCs w:val="16"/>
    </w:rPr>
  </w:style>
  <w:style w:type="character" w:styleId="Hyperlink">
    <w:name w:val="Hyperlink"/>
    <w:basedOn w:val="DefaultParagraphFont"/>
    <w:unhideWhenUsed/>
    <w:rsid w:val="00B64A60"/>
    <w:rPr>
      <w:color w:val="0000FF" w:themeColor="hyperlink"/>
      <w:u w:val="single"/>
    </w:rPr>
  </w:style>
  <w:style w:type="paragraph" w:styleId="FootnoteText">
    <w:name w:val="footnote text"/>
    <w:basedOn w:val="Normal"/>
    <w:link w:val="FootnoteTextChar"/>
    <w:semiHidden/>
    <w:unhideWhenUsed/>
    <w:rsid w:val="00D5407A"/>
    <w:rPr>
      <w:sz w:val="20"/>
      <w:szCs w:val="20"/>
    </w:rPr>
  </w:style>
  <w:style w:type="character" w:customStyle="1" w:styleId="FootnoteTextChar">
    <w:name w:val="Footnote Text Char"/>
    <w:basedOn w:val="DefaultParagraphFont"/>
    <w:link w:val="FootnoteText"/>
    <w:semiHidden/>
    <w:rsid w:val="00D5407A"/>
    <w:rPr>
      <w:rFonts w:eastAsia="BatangChe"/>
    </w:rPr>
  </w:style>
  <w:style w:type="character" w:styleId="FootnoteReference">
    <w:name w:val="footnote reference"/>
    <w:basedOn w:val="DefaultParagraphFont"/>
    <w:semiHidden/>
    <w:unhideWhenUsed/>
    <w:rsid w:val="00D5407A"/>
    <w:rPr>
      <w:vertAlign w:val="superscript"/>
    </w:rPr>
  </w:style>
  <w:style w:type="character" w:styleId="CommentReference">
    <w:name w:val="annotation reference"/>
    <w:basedOn w:val="DefaultParagraphFont"/>
    <w:semiHidden/>
    <w:unhideWhenUsed/>
    <w:rsid w:val="00CE4B93"/>
    <w:rPr>
      <w:sz w:val="16"/>
      <w:szCs w:val="16"/>
    </w:rPr>
  </w:style>
  <w:style w:type="paragraph" w:styleId="CommentText">
    <w:name w:val="annotation text"/>
    <w:basedOn w:val="Normal"/>
    <w:link w:val="CommentTextChar"/>
    <w:semiHidden/>
    <w:unhideWhenUsed/>
    <w:rsid w:val="00CE4B93"/>
    <w:rPr>
      <w:sz w:val="20"/>
      <w:szCs w:val="20"/>
    </w:rPr>
  </w:style>
  <w:style w:type="character" w:customStyle="1" w:styleId="CommentTextChar">
    <w:name w:val="Comment Text Char"/>
    <w:basedOn w:val="DefaultParagraphFont"/>
    <w:link w:val="CommentText"/>
    <w:semiHidden/>
    <w:rsid w:val="00CE4B93"/>
    <w:rPr>
      <w:rFonts w:eastAsia="BatangChe"/>
    </w:rPr>
  </w:style>
  <w:style w:type="paragraph" w:styleId="CommentSubject">
    <w:name w:val="annotation subject"/>
    <w:basedOn w:val="CommentText"/>
    <w:next w:val="CommentText"/>
    <w:link w:val="CommentSubjectChar"/>
    <w:semiHidden/>
    <w:unhideWhenUsed/>
    <w:rsid w:val="00CE4B93"/>
    <w:rPr>
      <w:b/>
      <w:bCs/>
    </w:rPr>
  </w:style>
  <w:style w:type="character" w:customStyle="1" w:styleId="CommentSubjectChar">
    <w:name w:val="Comment Subject Char"/>
    <w:basedOn w:val="CommentTextChar"/>
    <w:link w:val="CommentSubject"/>
    <w:semiHidden/>
    <w:rsid w:val="00CE4B93"/>
    <w:rPr>
      <w:rFonts w:eastAsia="BatangChe"/>
      <w:b/>
      <w:bCs/>
    </w:rPr>
  </w:style>
  <w:style w:type="paragraph" w:customStyle="1" w:styleId="enumlev1">
    <w:name w:val="enumlev1"/>
    <w:basedOn w:val="Normal"/>
    <w:rsid w:val="00BA021C"/>
    <w:pPr>
      <w:tabs>
        <w:tab w:val="left" w:pos="1134"/>
        <w:tab w:val="left" w:pos="1871"/>
        <w:tab w:val="left" w:pos="2608"/>
        <w:tab w:val="left" w:pos="3345"/>
      </w:tabs>
      <w:overflowPunct w:val="0"/>
      <w:autoSpaceDE w:val="0"/>
      <w:autoSpaceDN w:val="0"/>
      <w:adjustRightInd w:val="0"/>
      <w:spacing w:before="80"/>
      <w:ind w:left="1134" w:hanging="1134"/>
    </w:pPr>
    <w:rPr>
      <w:rFonts w:eastAsia="MS Mincho"/>
      <w:szCs w:val="20"/>
      <w:lang w:val="en-GB"/>
    </w:rPr>
  </w:style>
  <w:style w:type="paragraph" w:customStyle="1" w:styleId="ListParagraph1">
    <w:name w:val="List Paragraph1"/>
    <w:basedOn w:val="Normal"/>
    <w:uiPriority w:val="34"/>
    <w:qFormat/>
    <w:rsid w:val="00AD5266"/>
    <w:pPr>
      <w:ind w:firstLineChars="200" w:firstLine="420"/>
    </w:pPr>
  </w:style>
  <w:style w:type="paragraph" w:styleId="NormalWeb">
    <w:name w:val="Normal (Web)"/>
    <w:basedOn w:val="Normal"/>
    <w:uiPriority w:val="99"/>
    <w:semiHidden/>
    <w:unhideWhenUsed/>
    <w:rsid w:val="00016652"/>
    <w:pPr>
      <w:spacing w:before="100" w:beforeAutospacing="1" w:after="100" w:afterAutospacing="1"/>
    </w:pPr>
    <w:rPr>
      <w:rFonts w:eastAsia="Times New Roman"/>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843925">
      <w:bodyDiv w:val="1"/>
      <w:marLeft w:val="0"/>
      <w:marRight w:val="0"/>
      <w:marTop w:val="0"/>
      <w:marBottom w:val="0"/>
      <w:divBdr>
        <w:top w:val="none" w:sz="0" w:space="0" w:color="auto"/>
        <w:left w:val="none" w:sz="0" w:space="0" w:color="auto"/>
        <w:bottom w:val="none" w:sz="0" w:space="0" w:color="auto"/>
        <w:right w:val="none" w:sz="0" w:space="0" w:color="auto"/>
      </w:divBdr>
    </w:div>
    <w:div w:id="1099569860">
      <w:bodyDiv w:val="1"/>
      <w:marLeft w:val="0"/>
      <w:marRight w:val="0"/>
      <w:marTop w:val="0"/>
      <w:marBottom w:val="0"/>
      <w:divBdr>
        <w:top w:val="none" w:sz="0" w:space="0" w:color="auto"/>
        <w:left w:val="none" w:sz="0" w:space="0" w:color="auto"/>
        <w:bottom w:val="none" w:sz="0" w:space="0" w:color="auto"/>
        <w:right w:val="none" w:sz="0" w:space="0" w:color="auto"/>
      </w:divBdr>
    </w:div>
    <w:div w:id="1495798631">
      <w:bodyDiv w:val="1"/>
      <w:marLeft w:val="0"/>
      <w:marRight w:val="0"/>
      <w:marTop w:val="0"/>
      <w:marBottom w:val="0"/>
      <w:divBdr>
        <w:top w:val="none" w:sz="0" w:space="0" w:color="auto"/>
        <w:left w:val="none" w:sz="0" w:space="0" w:color="auto"/>
        <w:bottom w:val="none" w:sz="0" w:space="0" w:color="auto"/>
        <w:right w:val="none" w:sz="0" w:space="0" w:color="auto"/>
      </w:divBdr>
    </w:div>
    <w:div w:id="1774934263">
      <w:bodyDiv w:val="1"/>
      <w:marLeft w:val="0"/>
      <w:marRight w:val="0"/>
      <w:marTop w:val="0"/>
      <w:marBottom w:val="0"/>
      <w:divBdr>
        <w:top w:val="none" w:sz="0" w:space="0" w:color="auto"/>
        <w:left w:val="none" w:sz="0" w:space="0" w:color="auto"/>
        <w:bottom w:val="none" w:sz="0" w:space="0" w:color="auto"/>
        <w:right w:val="none" w:sz="0" w:space="0" w:color="auto"/>
      </w:divBdr>
      <w:divsChild>
        <w:div w:id="2100560108">
          <w:marLeft w:val="0"/>
          <w:marRight w:val="0"/>
          <w:marTop w:val="0"/>
          <w:marBottom w:val="0"/>
          <w:divBdr>
            <w:top w:val="none" w:sz="0" w:space="0" w:color="auto"/>
            <w:left w:val="none" w:sz="0" w:space="0" w:color="auto"/>
            <w:bottom w:val="none" w:sz="0" w:space="0" w:color="auto"/>
            <w:right w:val="none" w:sz="0" w:space="0" w:color="auto"/>
          </w:divBdr>
          <w:divsChild>
            <w:div w:id="1673601853">
              <w:marLeft w:val="0"/>
              <w:marRight w:val="0"/>
              <w:marTop w:val="0"/>
              <w:marBottom w:val="0"/>
              <w:divBdr>
                <w:top w:val="none" w:sz="0" w:space="0" w:color="auto"/>
                <w:left w:val="none" w:sz="0" w:space="0" w:color="auto"/>
                <w:bottom w:val="none" w:sz="0" w:space="0" w:color="auto"/>
                <w:right w:val="none" w:sz="0" w:space="0" w:color="auto"/>
              </w:divBdr>
            </w:div>
            <w:div w:id="1737698829">
              <w:marLeft w:val="0"/>
              <w:marRight w:val="0"/>
              <w:marTop w:val="0"/>
              <w:marBottom w:val="0"/>
              <w:divBdr>
                <w:top w:val="none" w:sz="0" w:space="0" w:color="auto"/>
                <w:left w:val="none" w:sz="0" w:space="0" w:color="auto"/>
                <w:bottom w:val="none" w:sz="0" w:space="0" w:color="auto"/>
                <w:right w:val="none" w:sz="0" w:space="0" w:color="auto"/>
              </w:divBdr>
            </w:div>
            <w:div w:id="1185748132">
              <w:marLeft w:val="0"/>
              <w:marRight w:val="0"/>
              <w:marTop w:val="0"/>
              <w:marBottom w:val="0"/>
              <w:divBdr>
                <w:top w:val="none" w:sz="0" w:space="0" w:color="auto"/>
                <w:left w:val="none" w:sz="0" w:space="0" w:color="auto"/>
                <w:bottom w:val="none" w:sz="0" w:space="0" w:color="auto"/>
                <w:right w:val="none" w:sz="0" w:space="0" w:color="auto"/>
              </w:divBdr>
            </w:div>
            <w:div w:id="1402019916">
              <w:marLeft w:val="0"/>
              <w:marRight w:val="0"/>
              <w:marTop w:val="0"/>
              <w:marBottom w:val="0"/>
              <w:divBdr>
                <w:top w:val="none" w:sz="0" w:space="0" w:color="auto"/>
                <w:left w:val="none" w:sz="0" w:space="0" w:color="auto"/>
                <w:bottom w:val="none" w:sz="0" w:space="0" w:color="auto"/>
                <w:right w:val="none" w:sz="0" w:space="0" w:color="auto"/>
              </w:divBdr>
            </w:div>
            <w:div w:id="33234544">
              <w:marLeft w:val="0"/>
              <w:marRight w:val="0"/>
              <w:marTop w:val="0"/>
              <w:marBottom w:val="0"/>
              <w:divBdr>
                <w:top w:val="none" w:sz="0" w:space="0" w:color="auto"/>
                <w:left w:val="none" w:sz="0" w:space="0" w:color="auto"/>
                <w:bottom w:val="none" w:sz="0" w:space="0" w:color="auto"/>
                <w:right w:val="none" w:sz="0" w:space="0" w:color="auto"/>
              </w:divBdr>
            </w:div>
            <w:div w:id="806826012">
              <w:marLeft w:val="0"/>
              <w:marRight w:val="0"/>
              <w:marTop w:val="0"/>
              <w:marBottom w:val="0"/>
              <w:divBdr>
                <w:top w:val="none" w:sz="0" w:space="0" w:color="auto"/>
                <w:left w:val="none" w:sz="0" w:space="0" w:color="auto"/>
                <w:bottom w:val="none" w:sz="0" w:space="0" w:color="auto"/>
                <w:right w:val="none" w:sz="0" w:space="0" w:color="auto"/>
              </w:divBdr>
            </w:div>
            <w:div w:id="983237041">
              <w:marLeft w:val="0"/>
              <w:marRight w:val="0"/>
              <w:marTop w:val="0"/>
              <w:marBottom w:val="0"/>
              <w:divBdr>
                <w:top w:val="none" w:sz="0" w:space="0" w:color="auto"/>
                <w:left w:val="none" w:sz="0" w:space="0" w:color="auto"/>
                <w:bottom w:val="none" w:sz="0" w:space="0" w:color="auto"/>
                <w:right w:val="none" w:sz="0" w:space="0" w:color="auto"/>
              </w:divBdr>
            </w:div>
            <w:div w:id="1698308337">
              <w:marLeft w:val="0"/>
              <w:marRight w:val="0"/>
              <w:marTop w:val="0"/>
              <w:marBottom w:val="0"/>
              <w:divBdr>
                <w:top w:val="none" w:sz="0" w:space="0" w:color="auto"/>
                <w:left w:val="none" w:sz="0" w:space="0" w:color="auto"/>
                <w:bottom w:val="none" w:sz="0" w:space="0" w:color="auto"/>
                <w:right w:val="none" w:sz="0" w:space="0" w:color="auto"/>
              </w:divBdr>
            </w:div>
            <w:div w:id="1391927441">
              <w:marLeft w:val="0"/>
              <w:marRight w:val="0"/>
              <w:marTop w:val="0"/>
              <w:marBottom w:val="0"/>
              <w:divBdr>
                <w:top w:val="none" w:sz="0" w:space="0" w:color="auto"/>
                <w:left w:val="none" w:sz="0" w:space="0" w:color="auto"/>
                <w:bottom w:val="none" w:sz="0" w:space="0" w:color="auto"/>
                <w:right w:val="none" w:sz="0" w:space="0" w:color="auto"/>
              </w:divBdr>
            </w:div>
            <w:div w:id="1549880393">
              <w:marLeft w:val="0"/>
              <w:marRight w:val="0"/>
              <w:marTop w:val="0"/>
              <w:marBottom w:val="0"/>
              <w:divBdr>
                <w:top w:val="none" w:sz="0" w:space="0" w:color="auto"/>
                <w:left w:val="none" w:sz="0" w:space="0" w:color="auto"/>
                <w:bottom w:val="none" w:sz="0" w:space="0" w:color="auto"/>
                <w:right w:val="none" w:sz="0" w:space="0" w:color="auto"/>
              </w:divBdr>
            </w:div>
            <w:div w:id="839007040">
              <w:marLeft w:val="0"/>
              <w:marRight w:val="0"/>
              <w:marTop w:val="0"/>
              <w:marBottom w:val="0"/>
              <w:divBdr>
                <w:top w:val="none" w:sz="0" w:space="0" w:color="auto"/>
                <w:left w:val="none" w:sz="0" w:space="0" w:color="auto"/>
                <w:bottom w:val="none" w:sz="0" w:space="0" w:color="auto"/>
                <w:right w:val="none" w:sz="0" w:space="0" w:color="auto"/>
              </w:divBdr>
            </w:div>
            <w:div w:id="566693569">
              <w:marLeft w:val="0"/>
              <w:marRight w:val="0"/>
              <w:marTop w:val="0"/>
              <w:marBottom w:val="0"/>
              <w:divBdr>
                <w:top w:val="none" w:sz="0" w:space="0" w:color="auto"/>
                <w:left w:val="none" w:sz="0" w:space="0" w:color="auto"/>
                <w:bottom w:val="none" w:sz="0" w:space="0" w:color="auto"/>
                <w:right w:val="none" w:sz="0" w:space="0" w:color="auto"/>
              </w:divBdr>
            </w:div>
            <w:div w:id="24840082">
              <w:marLeft w:val="0"/>
              <w:marRight w:val="0"/>
              <w:marTop w:val="0"/>
              <w:marBottom w:val="0"/>
              <w:divBdr>
                <w:top w:val="none" w:sz="0" w:space="0" w:color="auto"/>
                <w:left w:val="none" w:sz="0" w:space="0" w:color="auto"/>
                <w:bottom w:val="none" w:sz="0" w:space="0" w:color="auto"/>
                <w:right w:val="none" w:sz="0" w:space="0" w:color="auto"/>
              </w:divBdr>
            </w:div>
            <w:div w:id="47731619">
              <w:marLeft w:val="0"/>
              <w:marRight w:val="0"/>
              <w:marTop w:val="0"/>
              <w:marBottom w:val="0"/>
              <w:divBdr>
                <w:top w:val="none" w:sz="0" w:space="0" w:color="auto"/>
                <w:left w:val="none" w:sz="0" w:space="0" w:color="auto"/>
                <w:bottom w:val="none" w:sz="0" w:space="0" w:color="auto"/>
                <w:right w:val="none" w:sz="0" w:space="0" w:color="auto"/>
              </w:divBdr>
            </w:div>
            <w:div w:id="6287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5694">
      <w:bodyDiv w:val="1"/>
      <w:marLeft w:val="0"/>
      <w:marRight w:val="0"/>
      <w:marTop w:val="0"/>
      <w:marBottom w:val="0"/>
      <w:divBdr>
        <w:top w:val="none" w:sz="0" w:space="0" w:color="auto"/>
        <w:left w:val="none" w:sz="0" w:space="0" w:color="auto"/>
        <w:bottom w:val="none" w:sz="0" w:space="0" w:color="auto"/>
        <w:right w:val="none" w:sz="0" w:space="0" w:color="auto"/>
      </w:divBdr>
      <w:divsChild>
        <w:div w:id="672689440">
          <w:marLeft w:val="547"/>
          <w:marRight w:val="0"/>
          <w:marTop w:val="48"/>
          <w:marBottom w:val="0"/>
          <w:divBdr>
            <w:top w:val="none" w:sz="0" w:space="0" w:color="auto"/>
            <w:left w:val="none" w:sz="0" w:space="0" w:color="auto"/>
            <w:bottom w:val="none" w:sz="0" w:space="0" w:color="auto"/>
            <w:right w:val="none" w:sz="0" w:space="0" w:color="auto"/>
          </w:divBdr>
        </w:div>
        <w:div w:id="1352874573">
          <w:marLeft w:val="1166"/>
          <w:marRight w:val="0"/>
          <w:marTop w:val="38"/>
          <w:marBottom w:val="0"/>
          <w:divBdr>
            <w:top w:val="none" w:sz="0" w:space="0" w:color="auto"/>
            <w:left w:val="none" w:sz="0" w:space="0" w:color="auto"/>
            <w:bottom w:val="none" w:sz="0" w:space="0" w:color="auto"/>
            <w:right w:val="none" w:sz="0" w:space="0" w:color="auto"/>
          </w:divBdr>
        </w:div>
        <w:div w:id="1436292529">
          <w:marLeft w:val="547"/>
          <w:marRight w:val="0"/>
          <w:marTop w:val="48"/>
          <w:marBottom w:val="0"/>
          <w:divBdr>
            <w:top w:val="none" w:sz="0" w:space="0" w:color="auto"/>
            <w:left w:val="none" w:sz="0" w:space="0" w:color="auto"/>
            <w:bottom w:val="none" w:sz="0" w:space="0" w:color="auto"/>
            <w:right w:val="none" w:sz="0" w:space="0" w:color="auto"/>
          </w:divBdr>
        </w:div>
        <w:div w:id="703092446">
          <w:marLeft w:val="1166"/>
          <w:marRight w:val="0"/>
          <w:marTop w:val="53"/>
          <w:marBottom w:val="0"/>
          <w:divBdr>
            <w:top w:val="none" w:sz="0" w:space="0" w:color="auto"/>
            <w:left w:val="none" w:sz="0" w:space="0" w:color="auto"/>
            <w:bottom w:val="none" w:sz="0" w:space="0" w:color="auto"/>
            <w:right w:val="none" w:sz="0" w:space="0" w:color="auto"/>
          </w:divBdr>
        </w:div>
        <w:div w:id="1037773424">
          <w:marLeft w:val="1166"/>
          <w:marRight w:val="0"/>
          <w:marTop w:val="53"/>
          <w:marBottom w:val="0"/>
          <w:divBdr>
            <w:top w:val="none" w:sz="0" w:space="0" w:color="auto"/>
            <w:left w:val="none" w:sz="0" w:space="0" w:color="auto"/>
            <w:bottom w:val="none" w:sz="0" w:space="0" w:color="auto"/>
            <w:right w:val="none" w:sz="0" w:space="0" w:color="auto"/>
          </w:divBdr>
        </w:div>
        <w:div w:id="1994485455">
          <w:marLeft w:val="1166"/>
          <w:marRight w:val="0"/>
          <w:marTop w:val="53"/>
          <w:marBottom w:val="0"/>
          <w:divBdr>
            <w:top w:val="none" w:sz="0" w:space="0" w:color="auto"/>
            <w:left w:val="none" w:sz="0" w:space="0" w:color="auto"/>
            <w:bottom w:val="none" w:sz="0" w:space="0" w:color="auto"/>
            <w:right w:val="none" w:sz="0" w:space="0" w:color="auto"/>
          </w:divBdr>
        </w:div>
        <w:div w:id="572932835">
          <w:marLeft w:val="1166"/>
          <w:marRight w:val="0"/>
          <w:marTop w:val="53"/>
          <w:marBottom w:val="0"/>
          <w:divBdr>
            <w:top w:val="none" w:sz="0" w:space="0" w:color="auto"/>
            <w:left w:val="none" w:sz="0" w:space="0" w:color="auto"/>
            <w:bottom w:val="none" w:sz="0" w:space="0" w:color="auto"/>
            <w:right w:val="none" w:sz="0" w:space="0" w:color="auto"/>
          </w:divBdr>
        </w:div>
        <w:div w:id="193228620">
          <w:marLeft w:val="547"/>
          <w:marRight w:val="0"/>
          <w:marTop w:val="48"/>
          <w:marBottom w:val="0"/>
          <w:divBdr>
            <w:top w:val="none" w:sz="0" w:space="0" w:color="auto"/>
            <w:left w:val="none" w:sz="0" w:space="0" w:color="auto"/>
            <w:bottom w:val="none" w:sz="0" w:space="0" w:color="auto"/>
            <w:right w:val="none" w:sz="0" w:space="0" w:color="auto"/>
          </w:divBdr>
        </w:div>
        <w:div w:id="1632782235">
          <w:marLeft w:val="547"/>
          <w:marRight w:val="0"/>
          <w:marTop w:val="48"/>
          <w:marBottom w:val="0"/>
          <w:divBdr>
            <w:top w:val="none" w:sz="0" w:space="0" w:color="auto"/>
            <w:left w:val="none" w:sz="0" w:space="0" w:color="auto"/>
            <w:bottom w:val="none" w:sz="0" w:space="0" w:color="auto"/>
            <w:right w:val="none" w:sz="0" w:space="0" w:color="auto"/>
          </w:divBdr>
        </w:div>
        <w:div w:id="2101487113">
          <w:marLeft w:val="1166"/>
          <w:marRight w:val="0"/>
          <w:marTop w:val="53"/>
          <w:marBottom w:val="0"/>
          <w:divBdr>
            <w:top w:val="none" w:sz="0" w:space="0" w:color="auto"/>
            <w:left w:val="none" w:sz="0" w:space="0" w:color="auto"/>
            <w:bottom w:val="none" w:sz="0" w:space="0" w:color="auto"/>
            <w:right w:val="none" w:sz="0" w:space="0" w:color="auto"/>
          </w:divBdr>
        </w:div>
        <w:div w:id="1714695013">
          <w:marLeft w:val="1166"/>
          <w:marRight w:val="0"/>
          <w:marTop w:val="53"/>
          <w:marBottom w:val="0"/>
          <w:divBdr>
            <w:top w:val="none" w:sz="0" w:space="0" w:color="auto"/>
            <w:left w:val="none" w:sz="0" w:space="0" w:color="auto"/>
            <w:bottom w:val="none" w:sz="0" w:space="0" w:color="auto"/>
            <w:right w:val="none" w:sz="0" w:space="0" w:color="auto"/>
          </w:divBdr>
        </w:div>
        <w:div w:id="1940260064">
          <w:marLeft w:val="547"/>
          <w:marRight w:val="0"/>
          <w:marTop w:val="62"/>
          <w:marBottom w:val="0"/>
          <w:divBdr>
            <w:top w:val="none" w:sz="0" w:space="0" w:color="auto"/>
            <w:left w:val="none" w:sz="0" w:space="0" w:color="auto"/>
            <w:bottom w:val="none" w:sz="0" w:space="0" w:color="auto"/>
            <w:right w:val="none" w:sz="0" w:space="0" w:color="auto"/>
          </w:divBdr>
        </w:div>
        <w:div w:id="872381011">
          <w:marLeft w:val="1166"/>
          <w:marRight w:val="0"/>
          <w:marTop w:val="53"/>
          <w:marBottom w:val="0"/>
          <w:divBdr>
            <w:top w:val="none" w:sz="0" w:space="0" w:color="auto"/>
            <w:left w:val="none" w:sz="0" w:space="0" w:color="auto"/>
            <w:bottom w:val="none" w:sz="0" w:space="0" w:color="auto"/>
            <w:right w:val="none" w:sz="0" w:space="0" w:color="auto"/>
          </w:divBdr>
        </w:div>
      </w:divsChild>
    </w:div>
    <w:div w:id="207442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5FC00-2E88-46DE-930E-2BE640BFB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1820</Words>
  <Characters>10380</Characters>
  <Application>Microsoft Office Word</Application>
  <DocSecurity>0</DocSecurity>
  <Lines>86</Lines>
  <Paragraphs>24</Paragraphs>
  <ScaleCrop>false</ScaleCrop>
  <HeadingPairs>
    <vt:vector size="6" baseType="variant">
      <vt:variant>
        <vt:lpstr>Title</vt:lpstr>
      </vt:variant>
      <vt:variant>
        <vt:i4>1</vt:i4>
      </vt:variant>
      <vt:variant>
        <vt:lpstr>ชื่อเรื่อง</vt:lpstr>
      </vt:variant>
      <vt:variant>
        <vt:i4>1</vt:i4>
      </vt:variant>
      <vt:variant>
        <vt:lpstr>제목</vt:lpstr>
      </vt:variant>
      <vt:variant>
        <vt:i4>1</vt:i4>
      </vt:variant>
    </vt:vector>
  </HeadingPairs>
  <TitlesOfParts>
    <vt:vector size="3" baseType="lpstr">
      <vt:lpstr/>
      <vt:lpstr/>
      <vt:lpstr/>
    </vt:vector>
  </TitlesOfParts>
  <Company>APT</Company>
  <LinksUpToDate>false</LinksUpToDate>
  <CharactersWithSpaces>12176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dc:creator>
  <cp:lastModifiedBy>Forhadul Parvez</cp:lastModifiedBy>
  <cp:revision>4</cp:revision>
  <cp:lastPrinted>2015-02-02T07:28:00Z</cp:lastPrinted>
  <dcterms:created xsi:type="dcterms:W3CDTF">2017-07-21T05:55:00Z</dcterms:created>
  <dcterms:modified xsi:type="dcterms:W3CDTF">2017-07-24T03:48:00Z</dcterms:modified>
</cp:coreProperties>
</file>