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5C" w:rsidRPr="00E1287B" w:rsidRDefault="00AF7D5C" w:rsidP="00AF7D5C">
      <w:pPr>
        <w:rPr>
          <w:rFonts w:asciiTheme="majorBidi" w:hAnsiTheme="majorBidi" w:cstheme="majorBidi"/>
          <w:b/>
          <w:bCs/>
          <w:color w:val="E36C0A" w:themeColor="accent6" w:themeShade="BF"/>
          <w:sz w:val="52"/>
          <w:szCs w:val="52"/>
          <w:cs/>
        </w:rPr>
      </w:pPr>
      <w:r w:rsidRPr="00E1287B">
        <w:rPr>
          <w:rFonts w:asciiTheme="majorBidi" w:hAnsiTheme="majorBidi" w:cstheme="majorBidi" w:hint="cs"/>
          <w:b/>
          <w:bCs/>
          <w:color w:val="E36C0A" w:themeColor="accent6" w:themeShade="BF"/>
          <w:sz w:val="52"/>
          <w:szCs w:val="52"/>
          <w:cs/>
        </w:rPr>
        <w:t xml:space="preserve">เรื่องวุ่นวายของฐานอำนาจกฎหมาย กับ ประกาศ </w:t>
      </w:r>
      <w:proofErr w:type="spellStart"/>
      <w:r w:rsidRPr="00E1287B">
        <w:rPr>
          <w:rFonts w:asciiTheme="majorBidi" w:hAnsiTheme="majorBidi" w:cstheme="majorBidi" w:hint="cs"/>
          <w:b/>
          <w:bCs/>
          <w:color w:val="E36C0A" w:themeColor="accent6" w:themeShade="BF"/>
          <w:sz w:val="52"/>
          <w:szCs w:val="52"/>
          <w:cs/>
        </w:rPr>
        <w:t>กสทช.</w:t>
      </w:r>
      <w:proofErr w:type="spellEnd"/>
      <w:r w:rsidRPr="00E1287B">
        <w:rPr>
          <w:rFonts w:asciiTheme="majorBidi" w:hAnsiTheme="majorBidi" w:cstheme="majorBidi" w:hint="cs"/>
          <w:b/>
          <w:bCs/>
          <w:color w:val="E36C0A" w:themeColor="accent6" w:themeShade="BF"/>
          <w:sz w:val="52"/>
          <w:szCs w:val="52"/>
          <w:cs/>
        </w:rPr>
        <w:t>ห้าม</w:t>
      </w:r>
      <w:proofErr w:type="spellStart"/>
      <w:r w:rsidRPr="00E1287B">
        <w:rPr>
          <w:rFonts w:asciiTheme="majorBidi" w:hAnsiTheme="majorBidi" w:cstheme="majorBidi" w:hint="cs"/>
          <w:b/>
          <w:bCs/>
          <w:color w:val="E36C0A" w:themeColor="accent6" w:themeShade="BF"/>
          <w:sz w:val="52"/>
          <w:szCs w:val="52"/>
          <w:cs/>
        </w:rPr>
        <w:t>ซิม</w:t>
      </w:r>
      <w:proofErr w:type="spellEnd"/>
      <w:r w:rsidRPr="00E1287B">
        <w:rPr>
          <w:rFonts w:asciiTheme="majorBidi" w:hAnsiTheme="majorBidi" w:cstheme="majorBidi" w:hint="cs"/>
          <w:b/>
          <w:bCs/>
          <w:color w:val="E36C0A" w:themeColor="accent6" w:themeShade="BF"/>
          <w:sz w:val="52"/>
          <w:szCs w:val="52"/>
          <w:cs/>
        </w:rPr>
        <w:t>ดับ</w:t>
      </w:r>
    </w:p>
    <w:p w:rsidR="00AF7D5C" w:rsidRPr="00E1287B" w:rsidRDefault="00AF7D5C" w:rsidP="00AF7D5C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color w:val="00B050"/>
          <w:sz w:val="52"/>
          <w:szCs w:val="52"/>
        </w:rPr>
      </w:pPr>
      <w:r w:rsidRPr="00E1287B">
        <w:rPr>
          <w:rFonts w:asciiTheme="majorBidi" w:hAnsiTheme="majorBidi" w:cstheme="majorBidi" w:hint="cs"/>
          <w:b/>
          <w:bCs/>
          <w:color w:val="E36C0A" w:themeColor="accent6" w:themeShade="BF"/>
          <w:sz w:val="40"/>
          <w:szCs w:val="40"/>
          <w:cs/>
        </w:rPr>
        <w:t>ต้องตั้งโจทย์ให้ถูกและมองรอบทิศ จึงจะเห็นแสงสว่างที่ปลายอุโมงค์</w:t>
      </w:r>
      <w:r w:rsidRPr="007F740E">
        <w:rPr>
          <w:rFonts w:asciiTheme="majorBidi" w:hAnsiTheme="majorBidi" w:cstheme="majorBidi" w:hint="cs"/>
          <w:b/>
          <w:bCs/>
          <w:color w:val="00B050"/>
          <w:sz w:val="40"/>
          <w:szCs w:val="40"/>
          <w:cs/>
        </w:rPr>
        <w:t xml:space="preserve"> </w:t>
      </w:r>
      <w:r w:rsidR="00E1287B" w:rsidRPr="00E1287B">
        <w:rPr>
          <w:rFonts w:asciiTheme="majorBidi" w:hAnsiTheme="majorBidi" w:cstheme="majorBidi" w:hint="cs"/>
          <w:b/>
          <w:bCs/>
          <w:color w:val="C00000"/>
          <w:sz w:val="52"/>
          <w:szCs w:val="52"/>
          <w:cs/>
        </w:rPr>
        <w:t>(ตอนจบ</w:t>
      </w:r>
      <w:r w:rsidRPr="00E1287B">
        <w:rPr>
          <w:rFonts w:asciiTheme="majorBidi" w:hAnsiTheme="majorBidi" w:cstheme="majorBidi" w:hint="cs"/>
          <w:b/>
          <w:bCs/>
          <w:color w:val="C00000"/>
          <w:sz w:val="52"/>
          <w:szCs w:val="52"/>
          <w:cs/>
        </w:rPr>
        <w:t>)</w:t>
      </w:r>
    </w:p>
    <w:p w:rsidR="00AF7D5C" w:rsidRPr="00155E43" w:rsidRDefault="00AF7D5C" w:rsidP="00155E43">
      <w:pPr>
        <w:pStyle w:val="ListParagraph"/>
        <w:ind w:left="630"/>
        <w:rPr>
          <w:rFonts w:asciiTheme="majorBidi" w:hAnsiTheme="majorBidi" w:cstheme="majorBidi"/>
          <w:b/>
          <w:bCs/>
          <w:color w:val="00B050"/>
          <w:sz w:val="36"/>
          <w:szCs w:val="36"/>
          <w:cs/>
        </w:rPr>
      </w:pPr>
      <w:r w:rsidRPr="007F740E">
        <w:rPr>
          <w:rFonts w:asciiTheme="majorBidi" w:hAnsiTheme="majorBidi" w:cstheme="majorBidi" w:hint="cs"/>
          <w:b/>
          <w:bCs/>
          <w:color w:val="7030A0"/>
          <w:sz w:val="36"/>
          <w:szCs w:val="36"/>
          <w:cs/>
        </w:rPr>
        <w:t xml:space="preserve">                                                        </w:t>
      </w:r>
      <w:r>
        <w:rPr>
          <w:rFonts w:asciiTheme="majorBidi" w:hAnsiTheme="majorBidi" w:cstheme="majorBidi" w:hint="cs"/>
          <w:b/>
          <w:bCs/>
          <w:color w:val="7030A0"/>
          <w:sz w:val="36"/>
          <w:szCs w:val="36"/>
          <w:cs/>
        </w:rPr>
        <w:t xml:space="preserve">       </w:t>
      </w:r>
      <w:r w:rsidRPr="007F740E">
        <w:rPr>
          <w:rFonts w:asciiTheme="majorBidi" w:hAnsiTheme="majorBidi" w:cstheme="majorBidi" w:hint="cs"/>
          <w:b/>
          <w:bCs/>
          <w:color w:val="7030A0"/>
          <w:sz w:val="36"/>
          <w:szCs w:val="36"/>
          <w:cs/>
        </w:rPr>
        <w:t xml:space="preserve"> </w:t>
      </w:r>
      <w:r w:rsidRPr="007F740E"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>โดย...</w:t>
      </w:r>
      <w:r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 xml:space="preserve"> </w:t>
      </w:r>
      <w:r w:rsidRPr="007F740E"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>ดร.สุทธิพล</w:t>
      </w:r>
      <w:r w:rsidRPr="007F740E">
        <w:rPr>
          <w:rFonts w:asciiTheme="majorBidi" w:hAnsiTheme="majorBidi" w:cstheme="majorBidi"/>
          <w:b/>
          <w:bCs/>
          <w:color w:val="00B050"/>
          <w:sz w:val="36"/>
          <w:szCs w:val="36"/>
        </w:rPr>
        <w:t xml:space="preserve">  </w:t>
      </w:r>
      <w:r w:rsidR="00155E43"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 xml:space="preserve">ทวีชัยการ </w:t>
      </w:r>
      <w:proofErr w:type="spellStart"/>
      <w:r w:rsidR="00155E43"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>กสทช.</w:t>
      </w:r>
      <w:proofErr w:type="spellEnd"/>
      <w:r w:rsidR="00155E43"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>ด้านกฎ</w:t>
      </w:r>
      <w:r w:rsidRPr="00155E43"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>หมาย</w:t>
      </w:r>
    </w:p>
    <w:p w:rsidR="00E1287B" w:rsidRPr="00E1287B" w:rsidRDefault="00E1287B" w:rsidP="00E1287B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1287B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เมื่อตอนที่แล้วได้อธิบายถึงปัญหาที่จะกระทบต่อผู้ใช้บริการโทรศัพท์เคลื่อนที่ 2 จี กรณีคลื่น 1800 </w:t>
      </w:r>
      <w:proofErr w:type="gramStart"/>
      <w:r w:rsidRPr="00E1287B">
        <w:rPr>
          <w:rFonts w:asciiTheme="majorBidi" w:hAnsiTheme="majorBidi" w:cstheme="majorBidi"/>
          <w:b/>
          <w:bCs/>
          <w:sz w:val="32"/>
          <w:szCs w:val="32"/>
        </w:rPr>
        <w:t>MHz</w:t>
      </w:r>
      <w:r w:rsidRPr="00E1287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ที่สัมปทานจะสิ้นสุดลงในวันที่ 15 กันยายน 2556 ทำให้ </w:t>
      </w:r>
      <w:proofErr w:type="spellStart"/>
      <w:r w:rsidRPr="00E1287B">
        <w:rPr>
          <w:rFonts w:asciiTheme="majorBidi" w:hAnsiTheme="majorBidi" w:cstheme="majorBidi" w:hint="cs"/>
          <w:b/>
          <w:bCs/>
          <w:sz w:val="32"/>
          <w:szCs w:val="32"/>
          <w:cs/>
        </w:rPr>
        <w:t>กสทช.</w:t>
      </w:r>
      <w:proofErr w:type="spellEnd"/>
      <w:proofErr w:type="gramEnd"/>
      <w:r w:rsidRPr="00E1287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ต้องใช้มาตรการทางกฎหมายในการออกประกาศห้าม</w:t>
      </w:r>
      <w:proofErr w:type="spellStart"/>
      <w:r w:rsidRPr="00E1287B">
        <w:rPr>
          <w:rFonts w:asciiTheme="majorBidi" w:hAnsiTheme="majorBidi" w:cstheme="majorBidi" w:hint="cs"/>
          <w:b/>
          <w:bCs/>
          <w:sz w:val="32"/>
          <w:szCs w:val="32"/>
          <w:cs/>
        </w:rPr>
        <w:t>ซิม</w:t>
      </w:r>
      <w:proofErr w:type="spellEnd"/>
      <w:r w:rsidRPr="00E1287B">
        <w:rPr>
          <w:rFonts w:asciiTheme="majorBidi" w:hAnsiTheme="majorBidi" w:cstheme="majorBidi" w:hint="cs"/>
          <w:b/>
          <w:bCs/>
          <w:sz w:val="32"/>
          <w:szCs w:val="32"/>
          <w:cs/>
        </w:rPr>
        <w:t>ดับ อันเป็นมาตรการจำเป็นโดยไม่มีทางเลือกอื่นที่จะใช้ให้เกิดประสิทธิภาพในการคุ้มครองผู้ใช้บริการ ซึ่งเป็นสภาวะที่กฎหมายมีช่องโหว่ จึงต้องใช้และตีความกฎหมายโดยคำนึงถึงประโยชน์สูงสุดของประชาชน เพี่อมิให้บริการสาธารณะหยุดชะงัก โดยได้ทิ้งท้ายไว้ถึงข้อน่าสงสัยในการเคลื่อนไหวคัดค้านมาตรการคุ้มครองผู้บริโภคไม่ให้ได้รับผลกระทบจาก “</w:t>
      </w:r>
      <w:proofErr w:type="spellStart"/>
      <w:r w:rsidRPr="00E1287B">
        <w:rPr>
          <w:rFonts w:asciiTheme="majorBidi" w:hAnsiTheme="majorBidi" w:cstheme="majorBidi" w:hint="cs"/>
          <w:b/>
          <w:bCs/>
          <w:sz w:val="32"/>
          <w:szCs w:val="32"/>
          <w:cs/>
        </w:rPr>
        <w:t>ซิม</w:t>
      </w:r>
      <w:proofErr w:type="spellEnd"/>
      <w:r w:rsidRPr="00E1287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ดับ” </w:t>
      </w:r>
      <w:r w:rsidR="00AF7D5C" w:rsidRPr="00E1287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</w:t>
      </w:r>
    </w:p>
    <w:p w:rsidR="00AF7D5C" w:rsidRPr="007E53C5" w:rsidRDefault="00AF7D5C" w:rsidP="00E1287B">
      <w:pPr>
        <w:jc w:val="thaiDistribute"/>
        <w:rPr>
          <w:rFonts w:asciiTheme="majorBidi" w:eastAsia="Calibri" w:hAnsiTheme="majorBidi" w:cstheme="majorBidi"/>
          <w:b/>
          <w:bCs/>
          <w:color w:val="C00000"/>
          <w:sz w:val="32"/>
          <w:szCs w:val="32"/>
        </w:rPr>
      </w:pPr>
      <w:r w:rsidRPr="007E53C5">
        <w:rPr>
          <w:rFonts w:asciiTheme="majorBidi" w:eastAsia="Calibri" w:hAnsiTheme="majorBidi" w:cstheme="majorBidi"/>
          <w:b/>
          <w:bCs/>
          <w:color w:val="C00000"/>
          <w:sz w:val="32"/>
          <w:szCs w:val="32"/>
          <w:cs/>
        </w:rPr>
        <w:t>ชำแหละ...</w:t>
      </w:r>
      <w:r w:rsidRPr="007E53C5">
        <w:rPr>
          <w:rFonts w:asciiTheme="majorBidi" w:eastAsia="Calibri" w:hAnsiTheme="majorBidi" w:cstheme="majorBidi"/>
          <w:b/>
          <w:bCs/>
          <w:color w:val="C00000"/>
          <w:sz w:val="32"/>
          <w:szCs w:val="32"/>
        </w:rPr>
        <w:t xml:space="preserve">! </w:t>
      </w:r>
      <w:r w:rsidRPr="007E53C5">
        <w:rPr>
          <w:rFonts w:asciiTheme="majorBidi" w:eastAsia="Calibri" w:hAnsiTheme="majorBidi" w:cstheme="majorBidi"/>
          <w:b/>
          <w:bCs/>
          <w:color w:val="C00000"/>
          <w:sz w:val="32"/>
          <w:szCs w:val="32"/>
          <w:cs/>
        </w:rPr>
        <w:t>สาเหตุและจุดอ่อนการแปลความกฎหมายคัดค้านประกาศห้าม</w:t>
      </w:r>
      <w:proofErr w:type="spellStart"/>
      <w:r w:rsidRPr="007E53C5">
        <w:rPr>
          <w:rFonts w:asciiTheme="majorBidi" w:eastAsia="Calibri" w:hAnsiTheme="majorBidi" w:cstheme="majorBidi"/>
          <w:b/>
          <w:bCs/>
          <w:color w:val="C00000"/>
          <w:sz w:val="32"/>
          <w:szCs w:val="32"/>
          <w:cs/>
        </w:rPr>
        <w:t>ซิม</w:t>
      </w:r>
      <w:proofErr w:type="spellEnd"/>
      <w:r w:rsidRPr="007E53C5">
        <w:rPr>
          <w:rFonts w:asciiTheme="majorBidi" w:eastAsia="Calibri" w:hAnsiTheme="majorBidi" w:cstheme="majorBidi"/>
          <w:b/>
          <w:bCs/>
          <w:color w:val="C00000"/>
          <w:sz w:val="32"/>
          <w:szCs w:val="32"/>
          <w:cs/>
        </w:rPr>
        <w:t>ดับ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7E53C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sz w:val="32"/>
          <w:szCs w:val="32"/>
          <w:cs/>
        </w:rPr>
        <w:tab/>
        <w:t>ผู้เขียนเคารพในการแสดงความคิดเห็นทางกฎหมายของนักกฎหมายทุกท่าน และมองในแง่ดีในการที่มีนักกฎหมายออกมานำเสนอมุมมองทางด้านกฎหมายที่มีความแตกต่างกัน อย่างไรก็ตาม ผู้เขียนเห็นว่าการแสดงความคิดเห็นต่อสาธารณะในเรื่องที่อ่อนไหวและกระทบต่อประโยชน์สาธารณะใดๆ และอาจทำให้เกิดการได้</w:t>
      </w:r>
      <w:r>
        <w:rPr>
          <w:rFonts w:asciiTheme="majorBidi" w:hAnsiTheme="majorBidi" w:cstheme="majorBidi"/>
          <w:sz w:val="32"/>
          <w:szCs w:val="32"/>
          <w:cs/>
        </w:rPr>
        <w:t>เปรียบเสียเปรียบของผู้ประกอบกา</w:t>
      </w:r>
      <w:r w:rsidR="00231402">
        <w:rPr>
          <w:rFonts w:asciiTheme="majorBidi" w:hAnsiTheme="majorBidi" w:cstheme="majorBidi" w:hint="cs"/>
          <w:sz w:val="32"/>
          <w:szCs w:val="32"/>
          <w:cs/>
        </w:rPr>
        <w:t>ร</w:t>
      </w:r>
      <w:r>
        <w:rPr>
          <w:rFonts w:asciiTheme="majorBidi" w:hAnsiTheme="majorBidi" w:cstheme="majorBidi" w:hint="cs"/>
          <w:sz w:val="32"/>
          <w:szCs w:val="32"/>
          <w:cs/>
        </w:rPr>
        <w:t>รายใดรายหนึ่งหรือหลายราย</w:t>
      </w:r>
      <w:r w:rsidRPr="007E53C5">
        <w:rPr>
          <w:rFonts w:asciiTheme="majorBidi" w:hAnsiTheme="majorBidi" w:cstheme="majorBidi"/>
          <w:sz w:val="32"/>
          <w:szCs w:val="32"/>
          <w:cs/>
        </w:rPr>
        <w:t xml:space="preserve"> ขณะที่ประชาชนจะเสียประโยชน์  ควรตั้งอยู่บนพื้นฐานของเหตุผลเพื่อประโยชน์ส่วนรวม และพิเคราะห์พิจารณาด้วยความละเอียดรอบคอบโดยควรเปิดกว้างรับข้อมูลอย่างละเอียดครบถ้วน ทั้งในแง่ทฤษฎีและแง่ปฏิบัติเพื่อให้ความเห็นที่ออกสู่สาธารณะมีความถูกต้อง แม่นยำ</w:t>
      </w:r>
      <w:r w:rsidRPr="007E53C5">
        <w:rPr>
          <w:rFonts w:asciiTheme="majorBidi" w:hAnsiTheme="majorBidi" w:cstheme="majorBidi"/>
          <w:sz w:val="32"/>
          <w:szCs w:val="32"/>
        </w:rPr>
        <w:t xml:space="preserve"> </w:t>
      </w:r>
      <w:r w:rsidRPr="007E53C5">
        <w:rPr>
          <w:rFonts w:asciiTheme="majorBidi" w:hAnsiTheme="majorBidi" w:cstheme="majorBidi"/>
          <w:sz w:val="32"/>
          <w:szCs w:val="32"/>
          <w:cs/>
        </w:rPr>
        <w:t>และเป็นกลาง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7E53C5">
        <w:rPr>
          <w:rFonts w:asciiTheme="majorBidi" w:hAnsiTheme="majorBidi" w:cstheme="majorBidi"/>
          <w:sz w:val="32"/>
          <w:szCs w:val="32"/>
          <w:cs/>
        </w:rPr>
        <w:tab/>
        <w:t>เพื่อสะท้อนในอีกมุมมองที่แตกต่างกันในเชิงสร้างสรรค์และเพื่อให้เกิดประโยชน์ต่อสาธารณะ ผู้เขียนได้ลองวิเคราะห์ว่าเหตุใดนักกฎหมายผู้ทรงคุณวุฒิบางท่านจึงออกมาวิพากษ์วิจารณ์คัดค้านร่างประกาศห้าม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ซิม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>ดับ จากการวิเคราะห์นี้ ผู้เขียนเห็นว่า ความเห็นในการวิพากษ์วิจารณ์ของนักวิชาการกฎหมายที่คัดค้านประกาศห้าม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ซิม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>ดับ</w:t>
      </w:r>
      <w:r w:rsidR="0023140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น่าจะ</w:t>
      </w:r>
      <w:r w:rsidRPr="007E53C5">
        <w:rPr>
          <w:rFonts w:asciiTheme="majorBidi" w:hAnsiTheme="majorBidi" w:cstheme="majorBidi"/>
          <w:sz w:val="32"/>
          <w:szCs w:val="32"/>
          <w:cs/>
        </w:rPr>
        <w:t>เกิดจากสาเหตุและมีจุดอ่อน ดังต่อไปนี้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7E53C5">
        <w:rPr>
          <w:rFonts w:asciiTheme="majorBidi" w:hAnsiTheme="majorBidi" w:cstheme="majorBidi"/>
          <w:sz w:val="32"/>
          <w:szCs w:val="32"/>
        </w:rPr>
        <w:lastRenderedPageBreak/>
        <w:t xml:space="preserve"> </w:t>
      </w:r>
      <w:r w:rsidRPr="007E53C5">
        <w:rPr>
          <w:rFonts w:asciiTheme="majorBidi" w:hAnsiTheme="majorBidi" w:cstheme="majorBidi"/>
          <w:sz w:val="32"/>
          <w:szCs w:val="32"/>
        </w:rPr>
        <w:tab/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1.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มุ่งไปที่การคุ้มครองการแข่งขันเป็นหลัก แต่ให้ความสำคัญการคุ้มครองประโยชน์สูงสุดประชาชนเป็นรอง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>ความเห็นโต้แย้งร่างประกาศห้าม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ซิม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ดับไม่ได้คำนึงถึงหลักการคุ้มครองประโยชน์สูงสุดประชาชนเป็นหัวใจ แต่ไปมุ่งที่การคุ้มครองการแข่งขันของผู้ประกอบกิจการโทรคมนาคมเป็นหลัก ทำให้ผู้วิจารณ์ไม่ได้ตั้งโจทย์ว่า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ควรจะดำเนินงานในภารกิจอย่างไรจึงจะทำให้ประชาชนได้ประโยชน์สูงสุด แต่ไปตั้งโจทย์ว่าจะใช้กฎหมายอย่างไรไม่ให้กระทบต่อการแข่งขันจนทำให้เกิดการได้เปรียบเสียเปรียบ เมื่อตั้งโจทย์ผิดจึงส่งผลให้การวิเคราะห์คลาดเคลื่อน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ทั้งนี้ตามบทบัญญัติของรัฐธรรมนูญ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ต้องคำนึงถึงหลักการคุ้มครองประโยชน์สาธารณะในการใช้คลื่นประกอบกับการจัดสรรและการกำกับที่ต้องคำนึงถึงประโยชน์สูงสุดของประชาชน เป็นตัวตั้งและพิจารณาปัจจัยด้านอื่นๆ ประกอบในการออกประกาศฯ โดยต้องพิจารณากฎหมายทั้งระบบ  ครบถ้วนรอบด้านทั้งข้อกฎหมาย ข้อเท็จจริงทางเทคนิคและตามหลักวิชาการในการ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จัดสรรคลื่นความถี่โดยวิธีการ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ประมูลคลื่นความถี่ เพื่อให้เกิดประโยชน์สูงสุดต่อประชาชน  อันเป็นโจทย์ส</w:t>
      </w:r>
      <w:r w:rsidR="00155E43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ำคัญที่สุดตามกฎหมายรัฐธรรมนูญ</w:t>
      </w:r>
      <w:r w:rsidR="00155E43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155E43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ซี่ง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เป็นกฎหมายแม่บทที่ให้อำนาจหน้าที่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ให้ต้องปฏิบัติตาม </w:t>
      </w:r>
      <w:r w:rsidR="00155E43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โดยไม่สามารถ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หยิบยกเพียงความมุ่งหมายใดมุ่งหมายหนึ่งแล้วด่วนนำไปสู่ข้อสรุป  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ab/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อย่างไรก็ตามต่อข้อกังวลว่าจะเกิดผลกระทบต่อการแข่งขัน เกิดการได้เปรียบเสียเปรียบระหว่างผู้ประกอบการนั้น ขอเรียนว่า ประกาศฯไม่ได้ก่อให้เกิดความได้เปรียบเสียเปรียบระหว่างผู้ประกอบการในตลาดแต่อย่างใด เพราะการให้บริการตามมาตรการเยียวยาคุ้มครองผู้ใช้บริการเป็นคนละกรณีกับการประกอบกิจการที่มุ่งแสวงหากำไรตามนัยของการประกอบกิจการตามมาตรา </w:t>
      </w:r>
      <w:proofErr w:type="gramStart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45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เช่นเดียวกับผู้ได้รับอนุญาตปกติ แต่เป็นการให้บริการเพื่อเยียวยาลูกค้าคงค้างในระบบ </w:t>
      </w:r>
      <w:r w:rsidR="00F70F84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โดย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มีเงื่อนไขชัดเจนในการห้ามรับลูกค้าใหม่ สำหรับประเด็นเรื่องรายได้ที่ผู้ให้บริการได้รับในช่วงดำเนินมาตรการเยียวยา เมื่อหักค่าเช่าโครงข่ายจาก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กสท.</w:t>
      </w:r>
      <w:proofErr w:type="spellEnd"/>
      <w:proofErr w:type="gram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และหักค่าใช้จ่ายในการบริหารจัดการแล้ว ส่วนที่เหลือต้องนำส่ง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เพื่อ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มีกระบวนการ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ตรวจสอบก่อนนำส่งเป็นรายได้ของแผ่นดินต่อไป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นอกจากนี้ประกาศฯมีสภาพเป็นกฎ ซึ่งกฎมีผลใช้บังคับเป็นการทั่วไปและก่อให้เกิดสภาพบังคับตามกฎหมาย ไม่ใช่มุ่งใช้เฉพาะต่อรายใดรายหนึ่ง โดย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ไม่อาจใช้อำนาจเพื่อเป็นการสร้างภาระหน้าที่หรือเพื่อประโยชน์แก่รายใดหรือบุคคลใดโดยเฉพาะเจาะจงได้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</w:rPr>
        <w:lastRenderedPageBreak/>
        <w:t xml:space="preserve">2.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เกิดจากความเข้าใจว่า พ.ร.บ. องค์กรจัดสรรคลื่นความถี่ฯ พ.ศ. 2553 เป็นกฎหมายที่ดี มีประสิทธิภาพและไม่มีช่องโหว่ จึงแปลความโดยยึดลายลักษณ์อักษรเป็นหลัก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เมื่อมีพื้นฐานของความเข้าใจดังกล่าว จึงนำไปสู่การตีความว่าหากกฎหมายไม่เขียนไว้โดยชัดแจ้ง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ก็จะออกประกาศฯมาตรการเยียวยาไม่ได้ ทำให้ไม่พยายามใช้กฎหมายเพื่อให้เกิดผลในการปกป้องคุ้มครองให้เกิดประโยชน์สูงสุดแก่ประชาชน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จากประสบการณ์ที่เป็นผู้บังคับใช้ พ.ร.บ. องค์กรจัดสรรคลื่นความถี่ฯ พ.ศ. 2553 มาเกือบ 2 ปี ผู้เขียนเห็นว่าแม้กฎหมายฉบับนี้มีข้อดีหลายประการ แต่ก็เต็มไปด้วยจุดอ่อนและช่องโหว่อันทำให้การกำกับดูแลกิจการโทรคมนาคมขาดประสิทธิภาพ จึงเห็นด้วยที่หลายฝ่ายเสนอให้มีการแก้ไขปรับปรุง แต่ควรจะต้องดำเนินการเพื่อให้เกิดประโยชน์ต่อสาธารณะอย่างแท้จริง ปัญหาคือในระหว่างนี้จะใช้และตีความกฎหมายฉบับนี้ให้เกิดประโยชน์สูงสุดต่อประชาชนได้อย่างไร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การตีความกฎหมายปกครองควรเริ่มจากการพิเคราะห์ตามตัวบท เพื่อดูว่าถ้อยคำที่ใช้มีความกว้างหรือแคบเพียงใด ต่อมาจึงพิเคราะห์หาเหตุผลและความมุ่งหมายตามเจตนารมณ์ มิใช่พิเคราะห์เพียงอย่างใดอย่างหนึ่งและยุติแต่เพียงเท่านั้น ดังนั้น </w:t>
      </w:r>
      <w:r w:rsidRPr="007E53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ในการตีความกฎหมายปกครองทุกครั้งจึงควรมีการค้นหาเจตนารมณ์กฎหมายประกอบไปด้วยเสมอ  เพราะหากตีความตามตัวอักษรแต่เพียงอย่างเดียวแล้วก็ไม่อาจหาความหมายตามเจตนารมณ์ที่แท้จริงและถูกต้องเป็นธรรมให้แก่ตัวบทได้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ต่อกรณีการให้บริการโทรคมนาคมซึ่งเป็นการจัดทำบริการสาธารณะตามกฎหมายปกครอง โดยหลักของการใช้และการตีความตามกฎหมายปกครอง จะต้องใช้และตีความตาม </w:t>
      </w:r>
      <w:proofErr w:type="gramStart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“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หลักเฉพาะ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”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ทางปกครอง อันมีสาระสำคัญคือ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1.</w:t>
      </w:r>
      <w:proofErr w:type="gramEnd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จะต้องใช้กฎหมายลายลักษณ์อักษรเสียก่อน และใช้กฎหมายปกครองเฉพาะเรื่องก่อน 2. </w:t>
      </w:r>
      <w:r w:rsidRPr="007E53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หากกฎหมายเฉพาะเรื่องมีมาตรฐานหรือหลักเกณฑ์ต่ำกว่าหรือเป็นธรรมน้อยกว่า ก็จะต้องใช้กฎหมายปกครองที่เป็นหลักทั่วไป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ในกรณีเกิดมีช่องว่างในกฎหมาย ซึ่งในกรณีที่กฎหมายบัญญัติไปไม่ถึง ผู้ใช้กฎห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ม</w:t>
      </w:r>
      <w:r w:rsidRPr="007E53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ายปกครองสามารถที่จะนำกฎหมายปกครองทั่วไป หรือหลักกฎหมายใกล้เคียงยิ่ง หรือหลักเหตุผลในหลักความยุติธรรมที่ถือเป็นกฎหมายธรรมชาติ อย่างใดอย่างหนึ่งมาอุดช่องว่างตามกฎหมาย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“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เพื่อให้เกิดผลดีที่สุดในการทำให้เจตนารมณ์กฎหมายสัมฤทธิ์ผลในการคุ้มครองสิทธิ เสรีภาพประชาชนและเกิดประโยชน์สาธารณะ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”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ผู้เขียนพิจารณาแล้วเห็นว่า มาตรา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83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และ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84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แห่งพ.ร.บ.องค์กรจัดสรรคลื่นความถี่ฯ เป็นบทเฉพาะกาลเพื่อกำหนดเวลาให้คืนคลื่นความถี่ แต่บทบัญญัติดังกล่าวก็มีข้อจำกัด กล่าวคือกำหนดแต่เพียงว่าต้องคืนคลื่น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lastRenderedPageBreak/>
        <w:t xml:space="preserve">เมื่อใดให้เป็นไปตามแผนแม่บท แต่เมื่อคืนคลื่นความถี่มาแล้ว จะดำเนินการอย่างไร ในช่วงก่อนนำมาจัดสรรนั้น แผนแม่บทและมาตรา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83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และ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84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ไม่ได้กำหนดชัดเจนว่าในช่วงรอยต่อหลังสิ้นสุดสัญญา ก่อนนำคลื่นไปจัดสรรใหม่จะต้องดำเนินการอย่างไร ทั้งไม่ได้กำหนดว่าจะคุ้มครองผู้ใช้บริการที่ค้างอยู่ในระบบเดิมในช่วงรอยต่อนี้อย่างไร  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เมื่อกฎหมายมีข้อจำกัด เกิดช่องโหว่ดังกล่าว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ผู้ใช้กฎหมายก็ต้องย้อนกลับไปพิจารณาบทบัญญัติตามรัฐธรรมนูญที่ให้ฐานอำนาจ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ไว้คือมาตรา </w:t>
      </w:r>
      <w:proofErr w:type="gramStart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47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แห่งรัฐธรรมนูญซึ่งเป็นกฎหมายเฉพาะที่กำหนดเรื่องคลื่นความถี่และฐานอำนาจของ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proofErr w:type="gram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ไว้โดยตรง โดย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ผูกพันตามมาตรา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47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อยู่สองระดับ คือ</w:t>
      </w:r>
    </w:p>
    <w:p w:rsidR="00AF7D5C" w:rsidRPr="007E53C5" w:rsidRDefault="00AF7D5C" w:rsidP="00AF7D5C">
      <w:pPr>
        <w:spacing w:after="0" w:line="240" w:lineRule="auto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F70F84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ระดับที่ 1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“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การใช้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”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คลื่นความถี่ต้องเป็นไปเพื่อประโยชน์สาธารณะ ซึ่งหมายความรวมถึงทุกช่วงเวลา ไม่จำกัดเฉพาะช่วงที่นำคลื่นมาจัดสรรเท่านั้น การใช้คลื่นเพื่อประโยชน์สาธารณะถือเป็นหัวใจสำคัญของมาตรา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47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ดูได้จากลำดับถ้อยคำที่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ปรากฎ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ตามมาตรา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47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ดังนั้น การจะตีความต้องมุ่งไปที่การคุ้มครองประโยชน์สาธารณะเป็นหลัก</w:t>
      </w:r>
    </w:p>
    <w:p w:rsidR="00AF7D5C" w:rsidRPr="007E53C5" w:rsidRDefault="00AF7D5C" w:rsidP="00AF7D5C">
      <w:pPr>
        <w:spacing w:after="0" w:line="240" w:lineRule="auto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F70F84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ระดับที่ </w:t>
      </w:r>
      <w:proofErr w:type="gramStart"/>
      <w:r w:rsidR="00F70F84">
        <w:rPr>
          <w:rFonts w:asciiTheme="majorBidi" w:hAnsiTheme="majorBidi" w:cstheme="majorBidi"/>
          <w:color w:val="000000" w:themeColor="text1"/>
          <w:sz w:val="32"/>
          <w:szCs w:val="32"/>
        </w:rPr>
        <w:t>2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“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การจัดสรรและการกำกับ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”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ไม่ว่าจะเป็นเรื่องคลื่นความถี่และการกำกับดูแลกิจการในความรับผิดชอบ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proofErr w:type="gram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ต้องคำนึงถึงประโยชน์สูงสุดของประชาชนเป็นสำคัญ</w:t>
      </w:r>
    </w:p>
    <w:p w:rsidR="00AF7D5C" w:rsidRPr="007E53C5" w:rsidRDefault="00AF7D5C" w:rsidP="00AF7D5C">
      <w:pPr>
        <w:spacing w:after="0" w:line="240" w:lineRule="auto"/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3.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ขาดความเข้าใจในสภาพปัญหาทางโทรคมนาคมไทยและหลักการจัดสรรคลื่นความถี่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ผู้วิจารณ์น่าจะยังไม่เข้าใจว่าการประมูลเป็นเพียงการได้สิทธิในการใช้คลื่น แต่การจะให้บริการโทรคมนาคมของผู้ที่ได้สิทธิในการใช้คลื่นความถี่ยังมีขั้นตอนที่จะต้องดำเนินการอีกมาก เช่น สร้างโครงข่ายและใช้เทคโนโลยี รวมทั้งต้องอาศัยอุปกรณ์มือถือในการส่งรับคลื่น และลักษณะของเทคโนโลยี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4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ที่จะจำเป็นต้องอาศัยพื้นฐานของเทคโนโลยี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และลักษณะโครงข่ายสัมปทาน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1800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ที่มีอยู่เป็นโครงข่ายที่ใช้ได้สำหรับ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2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เท่านั้น ขณะที่ความต้องการของคลื่น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1800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หากมีการประมูล เป็นที่คาดการณ์ได้ว่า ผู้ประมูลได้จะต้องการเอาไปใช้บริการ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4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จึงไม่อาจใช้โครงข่าย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2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ที่มีอยู่ได้ จำเป็นจะต้องสร้างขึ้นใหม่ทั้งหมด แม้อาจจะปรับเอาโครงข่าย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มาใช้โดยติดอุปกรณ์เพิ่มได้ แต่ปัจจุบันเพิ่งออกใบอนุญาต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ไปยังไม่ถึงปี จึงติดตั้งโครงข่าย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 ยังไม่เรียบร้อย หากเร่งการประมูลก่อนสิ้นสุดสัมปทานได้ ก็ยังไม่สามารถโอนย้ายผู้ใช้บริการในระบบ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2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ไปได้อยู่ดี เพราะโครงข่ายไม่เสร็จและผู้อยู่ในระบบอาจไม่ต้องการไปใช้บริการ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4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ประเด็นจึงไม่ใช่ประมูลไม่ทัน แต่ถ้าเร่งประมูล นอกจากจะทำให้การจัดประมูลไม่เกิดประสิทธิภาพแล้ว ยังไม่สามารถแก้ปัญหาผู้ใช้บริการค้างในระบบ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นอกจากนี้ ผู้วิจารณ์ยังขาดความเข้าใจในเทคนิคเรื่องการโอนย้ายเลขหมาย และ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lastRenderedPageBreak/>
        <w:t>กฎหมายที่เกี่ยวข้องโดยเข้าใจว่าการโอนย้าย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ทั้งล๊อต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ทำได้โดยไม่มีข้อจำกัด ซึ่งไม่ได้เป็นเช่นนั้น ดังที่ผู้เขียนได้อธิบายไปแล้วในบทความ</w:t>
      </w:r>
      <w:r w:rsidR="00F70F84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(ตอนที่1)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4.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ไม่ได้กล่าวถึงหลักบริการสาธารณะซึ่งต้องมีความต่อเนื่องอันเป็นหลักสำคัญของกฎหมายปกครอง แต่ไปเน้นเฉพาะประเด็นความชอบด้วยกฎหมาย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Pr="007E53C5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 xml:space="preserve">ตามหลักกฎหมายปกครอง บริการโทรคมนาคมเป็นการบริการสาธารณะ </w:t>
      </w:r>
      <w:proofErr w:type="spellStart"/>
      <w:r w:rsidRPr="007E53C5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 xml:space="preserve"> เป็นองค์กรฝ่ายปกครองที่กำกับดูแลการจัดทำบริการสาธารณะดังกล่าว มีความต่อเนื่อง ไม่สะดุดหยุดลง อีกทั้งกรณีดังกล่าวยังเกี่ยวข้องกับประชาชนที่คงค้างในระบบหลังสิ้นสุดสัญญาสัมปทานเป็นจำนวนมาก ฝ่ายปกครองต้องเข้ามาช่วยเหลือ เพื่อให้บริการสาธารณะดำเนินการต่อไปได้ จะถือเสมือนหลักกฎหมายเอกชนที่ว่า ตัวใครตัวมัน ไม่ได้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นอกจากนี้ ทั้งผู้ที่อยู่ใต้สัญญาสัมปทานและผู้ให้สัมปทานอยู่ในฐานะผู้รับใบอนุญาตตามมาตรา 80 วรรคสอง พ.ร.บ.การประกอบกิจการโทรคมนาคม 2544 ซึ่งการอยู่ในฐานะผู้รับใบอนุญาตทำให้เกิดทั้ง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“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สิทธิ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”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และ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“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หน้าที่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”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ซึ่งไม่ได้แปลว่าสิทธิใช้คลื่นหมดแล้วจบกันไป เปรียบเสมือนเรื่องหน้าที่และความรับผิดภายหลังการเลิกสัญญาตามหลักกฎหมายเรื่องสัญญา ที่ยังมีหน้าที่ที่จะต้องถือปฏิบัติต่อกันภายหลังเลิกสัญญา (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culpa post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contractum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finitum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)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ดังนั้น จึงต้องแยกเรื่อง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“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คลื่น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”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และ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“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การเยียวยาลูกค้า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”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พิจารณาแยกจากกันคนละส่วน เพราะแม้สิทธิการใช้คลื่นสิ้นสุดไปแล้วแต่หน้าที่ของผู้ให้บริการยังคงมีอยู่ อันประกอบด้วย ประการแรก หน้าที่ห้ามหยุดหรือพักการให้บริการไม่ว่าทั้งหมดหรือบางส่วน ตามมาตรา 20 แห่ง พ.ร.บ. การประกอบกิจการโทรคมนาคม พ.ศ. 2544 และ ประการที่สอง หน้าที่เยียวยาผลกระทบผู้ใช้บริการภายหลังการสิ้นสุดการอนุญาตให้ประกอบกิจการตามข้อ 24 ตามเงื่อนไขแนบท้ายใบอนุญาตการประกอบกิจการโทรคมนาคมแบบที่สาม โดยกฎหมายมีเจตนารมณ์เพื่อความต่อเนื่องของการให้บริการเพื่อไม่ให้เกิดผลกระทบในอนาคตจากการที่ลูกค้าคงค้างในระบบจะไม่สามารถติดต่อสื่อสารได้   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5.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ไม่จำแนกลักษณะของการตีความกฎหมายเป็นกฎที่มีลักษณะเป็นการจำกัดสิทธิ ซึ่งต้องตีความโดยเคร่งครัด และกฎซึ่งมุ่งในการคุ้มครองสิทธิและประโยชน์ของประชาชน ที่ต้องตีความอย่างยืดหยุ่นเพื่อให้กฎหมายสามารถปกป้องสิทธิและคุ้มครองประโยชน์ของประชาชนได้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lastRenderedPageBreak/>
        <w:tab/>
        <w:t>ผู้วิจารณ์ใช้วิธีตีความกฎหมายที่เกี่ยวข้องกับเรื่องนี้ทุกกรณีอย่างเคร่งครัด ซึ่งย่อมส่งผลให้ไม่สามารถข้ามพ้นข้อจำกัดของกฎหมาย และไม่สามารถทำให้กฎหมายทำหน้าที่ให้เกิดประโยชน์สูงสุดของประชาชนได้ การตีความกฎหมายลักษณะนี้จึงเป็นการขัดต่อเจตนารมณ์ของรัฐธรรมนูญและหลักกฎหมายปกครอง โดยถือเอาข้อจำกัดของกฎหมาย เป็นข้อจำกัดในการคุ้มครองประโยชน์สูงสุดของประชาชน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6.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พิจารณาแต่เฉพาะในแง่มุมที่จำกัดอยู่ในเนื้อหาที่ปรากฏอยู่ในร่างที่นำเสนอ โดยไม่ได้คำนึงถึงว่าร่างฯนี้ยังสามารถปรับปรุงโดยแก้ไขหรือเพิ่มเติมเพื่อลดจุดอ่อนและเสริมให้เกิดความเข้มแข็งขึ้น </w:t>
      </w:r>
    </w:p>
    <w:p w:rsidR="00AF7D5C" w:rsidRPr="007E53C5" w:rsidRDefault="00AF7D5C" w:rsidP="00AF7D5C">
      <w:pPr>
        <w:tabs>
          <w:tab w:val="left" w:pos="1260"/>
        </w:tabs>
        <w:spacing w:after="0" w:line="240" w:lineRule="auto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            แม้จะเคารพต่อความเห็นของผู้วิจารณ์ แต่จากการศึกษาบทความต่างๆ ของผู้วิจารณ์นั้น ผู้เขียนอดคิดไม่ได้ว่าผู้วิจารณ์อาจมีเป้าหมายมาตั้งแต่แรกว่าไม่ควรมีประกาศนี้ จึงวิจารณ์ในมุมมองเดียว โดยปิดประตูการรับฟังข้อมูลอย่างรอบด้าน แต่เลือกที่จะรับฟังแนวคิดที่สอดคล้องกับแนวคิดของผู้วิจารณ์ ปิดทางความพยายามในการทำเพื่อปกป้องประโยชน์ของประชาชน โดยปิดโอกาสสำหรับข้อเสนอที่จะทำให้ร่างนี้มีความสมบูรณ์ขึ้น ซึ่งทำให้ผลการวิเคราะห์ด้อยค่าไปอย่างน่าเสียดาย</w:t>
      </w:r>
    </w:p>
    <w:p w:rsidR="00AF7D5C" w:rsidRPr="007E53C5" w:rsidRDefault="00AF7D5C" w:rsidP="00AF7D5C">
      <w:pPr>
        <w:tabs>
          <w:tab w:val="left" w:pos="1260"/>
        </w:tabs>
        <w:spacing w:after="0" w:line="240" w:lineRule="auto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7.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ขาดการตีความให้กฎหมายบังคับได้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ตัวอย่างเช่น ในกรณี มาตรา </w:t>
      </w:r>
      <w:proofErr w:type="gramStart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45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แห่ง พ.ร.บ. องค์กรจัดสรรคลื่นความถี่ฯ พ.ศ.2553 บัญญัติเฉพาะให้คืนคลื่นเมื่อสิ้นสัมปทาน แล้วจึงบอกว่าให้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proofErr w:type="gram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นำไปจัดสรร ปัญหาคือ กฎหมายไม่ได้กำหนดว่าเมื่อคืนมาแล้วจะต้องจัดสรรเมื่อใด กฎหมายเพียงบอกว่าให้เป็นไปตามหลักเกณฑ์ วิธีการและระยะเวลาที่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กำหนด ฉะนั้นการจะจัดประมูลเมื่อใดจึงอยู่ในดุลพินิจของ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ซึ่งจะต้องคำนึงถึงประโยชน์สูงสุดเป็นประการสำคัญ หาก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เห็นว่าถ้าเร่งจัดประมูลไวเกินไปโดยเพิ่งออกใบอนุญาต </w:t>
      </w:r>
      <w:proofErr w:type="gramStart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ไปยังไม่ถึงปี หากประมูลไปแล้วไม่เกิดประโยชน์สูงสุด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proofErr w:type="gram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ย่อมไม่สามารถจัดประมูลได้และจำเป็นต้องกำหนดช่วงระยะเวลาที่เหมาะสมเพื่อให้เป็นไปตามหลักการของกฎหมาย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นอกจากนี้ กฎหมาย ยังไม่ได้บัญญัติครอบคลุมไว้ในกรณีที่เมื่อมีการคืนคลื่นแล้วในระหว่างที่ยังไม่มีการจัดสรรหรือในช่วงที่รอการจัดสรรคลื่นให้ผู้ประกอบการรายใหม่ จะกำกับดูแลในระหว่างนี้อย่างไร หากมีผู้ใช้บริการค้างอยู่ในระบบ จะเยียวยาปัญหาอย่างไร ปัญหาคือในระหว่างนี้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จะดำเนินการเพื่อกำกับดูแลคุ้มครองผู้บริโภคได้หรือไม่ ซึ่งจะต้องเลือกระหว่างไม่ทำอะไรเลยเพราะกฎหมายไม่ได้กำหนดไว้ จึงถือว่าห้ามคุ้มครองผู้บริโภค หรือจะถือว่าเมื่อไม่มีกฎหมายห้าม หากดำเนินการตามกรอบภารกิจและเจตนารมณ์ของกฎหมาย ก็ไม่ต้องห้ามแต่อย่างใด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ตรงนี้คือความแตกต่างกัน ผู้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lastRenderedPageBreak/>
        <w:t xml:space="preserve">วิจารณ์เลือกที่จะตีความและใช้กฎหมายเคร่งครัดตามลายลักษณ์อักษร โดยไม่พยายามจะใช้กฎหมาย ให้เกิดประโยชน์สูงสุดเพื่อคุ้มครองประโยชน์สาธารณะ ซึ่งต้องถามว่า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มีหน้าที่ปกป้องคุ้มครองเฉพาะผู้รับอนุญาต หรือต้องคุ้มครองประโยชน์สาธารณะด้วย ถ้าบริการสาธารณะถูกข้อจำกัดทางกฎหมาย ที่ไม่สามารถให้บริการได้ขณะที่ประชาชนยังใช้บริการและยังมีความต้องการใช้บริการนั้นอยู่ บทบาทของ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ในฐานะเป็น </w:t>
      </w:r>
      <w:proofErr w:type="gramStart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regulator</w:t>
      </w:r>
      <w:proofErr w:type="gramEnd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ควรจะเป็นอย่างไร ซึ่งคงปฏิเสธไม่ได้ว่าการคุ้มครองผู้บริโภคในกิจการโทรคมนาคมคือบทบาทที่สำคัญยิ่งของ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</w:p>
    <w:p w:rsidR="00AF7D5C" w:rsidRPr="009E1D68" w:rsidRDefault="00AF7D5C" w:rsidP="00AF7D5C">
      <w:pPr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ab/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กฎหมายว่าด้วยการประกอบกิจการโทรคมนาคมทั้งหลายเป็นกฎหมายที่มีสภาพเป็นพลวัต เนื่องจากกิจการโทรคมนาคมเป็นกิจการที่เกี่ยวข้องกับเทคโนโลยี ไม่ใช่ของตายตัวและอยู่นิ่งอยู่กับที่เสมอ จากสภาพที่มีพลวัตสูงนี้เองทำให้การตีความกฎหมายต้องคำนึงถึงพัฒนาการ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(</w:t>
      </w:r>
      <w:proofErr w:type="gramStart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dynamic</w:t>
      </w:r>
      <w:proofErr w:type="gramEnd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) </w:t>
      </w:r>
      <w:r w:rsidRPr="009E1D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การตีความแบบเคร่งครัด </w:t>
      </w:r>
      <w:r w:rsidRPr="009E1D68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(rigid) </w:t>
      </w:r>
      <w:r w:rsidRPr="009E1D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จะก่อให้เกิดผลประหลาด และนำไปสู่การขัดขวางและเป็นอุปสรรคต่อการอำนวยความยุติธรรมต่อประชาชนในการบริการสาธารณะได้ในท้ายที่สุด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การใช้และตีความเกี่ยวกับการออกประกาศฯมาตรการคุ้มครองผู้ใช้บริการหลังสิ้นสุดสัญญาสัมปทาน ต้องยึดประโยชน์ผู้บริโภคเป็นที่ตั้งเพื่อใช้และตีความกฎหมายที่เกี่ยวข้องตามหลักกฎหมายปกครองที่ถูกต้องและให้เกิดประโยชน์ต่อสาธารณะ โดยใช้กฎหมายเป็นเครื่องมือ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“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ผ่าทางตัน” เพื่อมิให้บริการสาธารณะหยุดชะงัก การออกประกาศฯจะช่วยเยียวยาผู้บริโภคและการให้บริการโทรคมนาคมที่เป็นบริการสาธารณะเกิดความต่อเนื่องของการให้บริการตามหลักกฎหมายปกครอง             </w:t>
      </w:r>
    </w:p>
    <w:p w:rsidR="00AF7D5C" w:rsidRPr="007E53C5" w:rsidRDefault="00AF7D5C" w:rsidP="00AF7D5C">
      <w:pPr>
        <w:spacing w:after="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rtl/>
          <w:cs/>
        </w:rPr>
        <w:tab/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ศาลปกครองสูงสุดได้วางหลักการตีความเพื่อมุ่งคุ้มครองประโยชน์สาธารณะในทางให้กฎหมายมีผลบังคับใช้จริง ดังปรากฏในคำพิพากษาศาลปกครองสูงสุดที่ อ. 327/2550 สำหรับหลักการตีความเพื่อมุ่งคุ้มครองประโยชน์สาธารณะ ศาลปกครองสูงสุดได้วางบรรทัดฐานไว้ในคำพิพากษา ที่ อ. 10/2550  </w:t>
      </w:r>
      <w:r w:rsidRPr="007E53C5">
        <w:rPr>
          <w:rFonts w:asciiTheme="majorBidi" w:hAnsiTheme="majorBidi" w:cstheme="majorBidi"/>
          <w:sz w:val="32"/>
          <w:szCs w:val="32"/>
          <w:cs/>
        </w:rPr>
        <w:t>นอกจากนี้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หลักความต่อเนื่องของการจัดทำบริการสาธารณะที่เป็นหัวใจสำคัญของกฎหมายปกครองก็ปรากฏตามคำพิพากษาศาลปกครองสูงสุดที่ 148/2554  คำสั่งศาลปกครองสูงสุดที่ 213/2546 และคำสั่งศาลปกครองกลาง คดีหมายเลขดำที่ 431 และ 437/2550 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นอกจากนี้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ศาลปกครองสูงสุด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ยัง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ได้วางแนวทางการตีความโดยพิจารณาจากเจตนารมณ์และแปลความกฎหมายในลักษณะขยายความเพื่อคุ้มครองสิทธิและเสรีภาพประชาชนซึ่งปรากฏอยู่ในคำพิพากษาศาลปกครองสูงสุดที่ อ. 164/2550 และ อ. 231/2550</w:t>
      </w:r>
    </w:p>
    <w:p w:rsidR="00AF7D5C" w:rsidRPr="007E53C5" w:rsidRDefault="00AF7D5C" w:rsidP="00AF7D5C">
      <w:pPr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          ขอเรียนว่าหลักการของประกาศฯ ห้าม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ซิม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ดับ ที่มุ่งคุ้มครองประโยชน์สาธารณะและยึดถือหลักคงความต่อเนื่องในการให้บริการยังสอดคล้องกับแนวปฏิบัติสากล (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international best practice)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โดยจากการศึกษาข้อมูล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lastRenderedPageBreak/>
        <w:t>ขององค์กรระหว่างประเทศด้านกิจการโทรคมนาคม อาทิ สหภาพโทรคมนาคมระหว่างประเทศ (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ITU)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สมาคมผู้ประกอบการ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GSMA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รวมทั้งผลการศึกษาของหน่วยงานด้านการสื่อสารและเทคโนโลยีของ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World Bank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ก็ระบุชัดเจนว่าในช่วงเวลาการเปลี่ยนผ่านจาก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rtl/>
          <w:cs/>
        </w:rPr>
        <w:t xml:space="preserve"> 2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G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ไปสู่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rtl/>
          <w:cs/>
        </w:rPr>
        <w:t>3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G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หลักการสำคัญที่ผู้กำกับดูแลต้องคำนึงถึงอย่างยิ่งคือ การคงความต่อเนื่องของการให้บริการต่อประชาชนผู้ใช้บริการ (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ensure continuity of service)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แม้ในช่วงที่ยังไม่มีการออกใบอนุญาตก็ตาม นอกจากนี้ องค์กรกำกับดูแลในต่างประเทศก็ใช้หลักคงความต่อเนื่องในการให้บริการและคำนึงถึงประโยชน์สาธารณะเป็นหลักประกอบการพิจารณาแนวทางภายหลังสิ้นสุดการให้บริการตามใบอนุญาต อาทิ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ACMA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ของออสเตรเลีย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OFCOM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ของสหราช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อาณาจักร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BNetzA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ของเยอรมนี หรือ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OFCA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ของฮ่องกง เป็นต้น</w:t>
      </w:r>
    </w:p>
    <w:p w:rsidR="00AF7D5C" w:rsidRPr="007E53C5" w:rsidRDefault="00AF7D5C" w:rsidP="00AF7D5C">
      <w:pPr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8.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ข้อวิจารณ์ที่กล่าวว่ากฎหมายไม่สามารถคุ้มครองผู้ใช้บริการที่ต้องการใช้บริการเทคโนโลยีเดิมได้ตลอดไปนั้น ไม่สามารถนำมาใช้กับผู้ใช้บริการคลื่น 1800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MHz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>ที่ค้างอยู่ในระบบได้</w:t>
      </w:r>
    </w:p>
    <w:p w:rsidR="00AF7D5C" w:rsidRPr="007E53C5" w:rsidRDefault="00AF7D5C" w:rsidP="00AF7D5C">
      <w:pPr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เพราะในกรณีผู้ใช้บริการคลื่น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1800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เทคโนโลยีที่ใช้ไม่ใช่เทคโนโลยีเดิม แต่</w:t>
      </w:r>
      <w:r w:rsidR="00F70F84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เป็น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เทคโนโลยี ที่ใ</w:t>
      </w:r>
      <w:r w:rsidR="00F70F84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ช้อยู่ในปัจจุบัน </w:t>
      </w:r>
      <w:r w:rsidR="00F70F84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(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2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</w:t>
      </w:r>
      <w:r w:rsidR="00F70F84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)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ซึ่งแม้จะมีการให้บริการ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แต่บริการ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2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ยังคงอยู่ และผู้ที่ได้รับผลกระทบคือผู้ที่ใช้บริการ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2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จี จำนวนกว่า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17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ล้านคน ที่ใช้บริการเทคโนโลยีนี้ ฉะนั้นข้ออ้างของผู้วิจารณ์ที่ยกประเด็นนี้ขึ้นมาจึงฟังไม่ขึ้น ซึ่งหาก 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ไปถือปฏิบัติตามก็จะทำให้หลงประเด็นและไม่สามารถใช้มาตรการทางกฎหมายผ่าทางตันเพื่อเยียวยาผู้ใช้บริการที่ใช้เทคโนโลยีปัจจุบันซึ่งอยู่ระหว่างการใช้บริการนี้อยู่แต่บริการต้องหยุดชะงักเพราะผลของกฎหมาย ซึ่งมิใช่ความผิดของคนกลุ่มนี้เลย อันย่อมเข้าข่ายในการละเว้นการใช้กฎหมายเพื่อให้เกิดความเป็นธรรม ทั้งๆที่หากพยายามใช้และตีความกฎหมายให้ยืดหยุ่นก็จะสามารถเยียวยาปัญหาดังกล่าวได้</w:t>
      </w:r>
    </w:p>
    <w:p w:rsidR="00AF7D5C" w:rsidRPr="007E53C5" w:rsidRDefault="00AF7D5C" w:rsidP="00AF7D5C">
      <w:pPr>
        <w:jc w:val="thaiDistribu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             บทสรุป</w:t>
      </w:r>
    </w:p>
    <w:p w:rsidR="00AF7D5C" w:rsidRPr="007E53C5" w:rsidRDefault="00AF7D5C" w:rsidP="00AF7D5C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b/>
          <w:bCs/>
          <w:color w:val="C00000"/>
          <w:sz w:val="32"/>
          <w:szCs w:val="32"/>
          <w:cs/>
        </w:rPr>
        <w:tab/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กล่าวโดยสรุป มุมมองความเห็นทางกฎหมายเป็นเรื่องที่แตกต่างกันได้ ไม่อาจมองว่าถ้าเห็นไม่ตรงกันแล้ว ฝ่ายที่เห็นไม่ตรงกันจะผิดเสมอ ในกรณีที่มีผู้วิจารณ์ในปัญหาเรื่องประกาศห้าม</w:t>
      </w:r>
      <w:proofErr w:type="spellStart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ซิม</w:t>
      </w:r>
      <w:proofErr w:type="spellEnd"/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ดับเป็นตัวอย่างที่เห็นชัดเจนถึงความแตกต่างระหว่างนักกฎหมายสายวิชาการที่มองกฎหมายในทางทฤษฎีกับนักกฎหมายสายปฏิบัติ ผู้ปฏิบัติหน้าที่ในฐานะผู้กำกับดูแลหรือ </w:t>
      </w:r>
      <w:proofErr w:type="gramStart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>regulator</w:t>
      </w:r>
      <w:proofErr w:type="gramEnd"/>
      <w:r w:rsidRPr="007E53C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ในกิจการโทรคมนาคม</w:t>
      </w:r>
      <w:r w:rsidR="00F70F84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เนื่องจาก</w:t>
      </w:r>
      <w:r w:rsidRPr="009E1D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ขณะที่นักวิชาการมุ่งเน้นการศึกษาและตีความกฎหมายเพื่อแสดงถึงภูมิปัญญาและความรอบรู้ในประเด็นที่สังคมให้ความสนใจโดยไม่ต้องเป็นผู้รับผิดชอบ หากการใช้กฎหมายเกิดผลกระทบต่อผู้ที่เกี่ยวข้อง รวมทั้งไม่มีจุดเกาะเกี่ยวกับประชาชน </w:t>
      </w:r>
      <w:r w:rsidRPr="009E1D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lastRenderedPageBreak/>
        <w:t xml:space="preserve">แต่นักปฏิบัติซึ่งเป็น </w:t>
      </w:r>
      <w:r w:rsidRPr="009E1D68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regulator </w:t>
      </w:r>
      <w:r w:rsidRPr="009E1D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ดังเช่น </w:t>
      </w:r>
      <w:proofErr w:type="spellStart"/>
      <w:r w:rsidRPr="009E1D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กสทช.</w:t>
      </w:r>
      <w:proofErr w:type="spellEnd"/>
      <w:r w:rsidRPr="009E1D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 ต้องมีหน้าที่ที่จะบังคับใช้และตีความกฎหมายให้การกำกับดูแลที่ตนรับผิดชอบเกิดประโยชน์สูงสุด เกิดการพัฒนาในความรู้ความเชี่ยวชาญ</w:t>
      </w:r>
      <w:proofErr w:type="spellStart"/>
      <w:r w:rsidRPr="009E1D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ในสห</w:t>
      </w:r>
      <w:proofErr w:type="spellEnd"/>
      <w:r w:rsidRPr="009E1D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วิทยาการที่ตนรับผิดชอบเพื่อให้เกิดความเหมาะสมในการใช้ดุลพินิจ ซึ่งจะต้องมีหน้าที่ที่จะต้องรับผิดชอบต่อผลของการ</w:t>
      </w:r>
      <w:r w:rsidRPr="009E1D68">
        <w:rPr>
          <w:rFonts w:asciiTheme="majorBidi" w:hAnsiTheme="majorBidi" w:cstheme="majorBidi"/>
          <w:b/>
          <w:bCs/>
          <w:sz w:val="32"/>
          <w:szCs w:val="32"/>
          <w:cs/>
        </w:rPr>
        <w:t>ตัดสินนั้นๆ</w:t>
      </w:r>
      <w:r w:rsidRPr="007E53C5">
        <w:rPr>
          <w:rFonts w:asciiTheme="majorBidi" w:hAnsiTheme="majorBidi" w:cstheme="majorBidi"/>
          <w:sz w:val="32"/>
          <w:szCs w:val="32"/>
        </w:rPr>
        <w:tab/>
      </w:r>
      <w:r w:rsidRPr="007E53C5">
        <w:rPr>
          <w:rFonts w:asciiTheme="majorBidi" w:hAnsiTheme="majorBidi" w:cstheme="majorBidi"/>
          <w:sz w:val="32"/>
          <w:szCs w:val="32"/>
          <w:cs/>
        </w:rPr>
        <w:t xml:space="preserve">นอกจากนี้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นั้นได้รับการคัดเลือกจากวุฒิสภา ซึ่งสมาชิกวุฒิสภาส่วนหนึ่งมาจากการเลือกตั้ง จึงต้องถือว่า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มีจุดเกาะเกี่ยวกับประชาชน ซึ่งหมายถึงการที่มีภาระหน้าที่</w:t>
      </w:r>
      <w:r>
        <w:rPr>
          <w:rFonts w:asciiTheme="majorBidi" w:hAnsiTheme="majorBidi" w:cstheme="majorBidi" w:hint="cs"/>
          <w:sz w:val="32"/>
          <w:szCs w:val="32"/>
          <w:cs/>
        </w:rPr>
        <w:t>อันสำคัญ</w:t>
      </w:r>
      <w:r w:rsidRPr="007E53C5">
        <w:rPr>
          <w:rFonts w:asciiTheme="majorBidi" w:hAnsiTheme="majorBidi" w:cstheme="majorBidi"/>
          <w:sz w:val="32"/>
          <w:szCs w:val="32"/>
          <w:cs/>
        </w:rPr>
        <w:t xml:space="preserve">ที่จะต้องคำนึงประโยชน์ของประชาชนเป็นประการสำคัญ ฉะนั้น หากกฎหมายสามารถตีความได้หลายทาง </w:t>
      </w:r>
      <w:proofErr w:type="spellStart"/>
      <w:r w:rsidRPr="007E53C5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E53C5">
        <w:rPr>
          <w:rFonts w:asciiTheme="majorBidi" w:hAnsiTheme="majorBidi" w:cstheme="majorBidi"/>
          <w:sz w:val="32"/>
          <w:szCs w:val="32"/>
          <w:cs/>
        </w:rPr>
        <w:t xml:space="preserve"> ก็ต้องเลือกการตีความกฎหมายที่อยู่เคียงข้างประชาชนและเพื่อประชาชน</w:t>
      </w:r>
    </w:p>
    <w:p w:rsidR="00AF7D5C" w:rsidRPr="007E53C5" w:rsidRDefault="00AF7D5C" w:rsidP="00AF7D5C">
      <w:pPr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 การจะบอกว่าการใช้ดุลพินิจของหน่วยงานชำนาญพิเศษที่ใช้ดุลพินิจในกรอบอำนาจหน้าที่ในกรณีมีความเห็นทางกฎหมายแตกต่างจากนักวิชาการบางคนนั้น เป็นการปฏิบัติหน้าที่โดยไม่ชอบเป็นการผิดกฎหมาย ก็เท่ากับเป็นการไม่เคารพในการใช้ดุลพินิจขององค์กรชำนาญพิเศษ ซึ่งย่อมไม่สอดคล้องกับแนวบรรทัดฐานของศาลปกครองสูงสุดที่วางหลักไว้ว่าศาลจะไม่ก้าวล่วงในดุลพินิจขององค์กรชำนาญพิเศษ มิฉะนั้นจะกลายเป็นว่าศาลกลายเป็นองค์กรพิเศษเสียเอง</w:t>
      </w:r>
    </w:p>
    <w:p w:rsidR="00AF7D5C" w:rsidRPr="007E53C5" w:rsidRDefault="00AF7D5C" w:rsidP="00AF7D5C">
      <w:pPr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 </w:t>
      </w:r>
      <w:r w:rsidRPr="007E53C5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Pr="007E53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แนวความเห็นทางกฎหมายที่แตกต่างกันนี้จะเป็นไปในเชิงสร้างสรรค์ถ้าทุกฝ่ายมีจุดร่วมที่จะมองไปที่ประโยชน์สูงสุดของประชาชน เปิดใจกว้างรับข้อมูลต่างๆให้ละเอียดรอบคอบ ทราบข้อจำกัดของกฎหมาย และมุ่งใช้กฎหมาย ให้เกิดผลในการคุ้มครองประโยชน์สูงสุดของประชาชน แต่ถ้าเราตั้งโจทย์ไว้แล้วว่าทำไม่ได้และไม่พยายามที่จะหาทางเยียวยา การแก้ไขปัญหา</w:t>
      </w:r>
      <w:proofErr w:type="spellStart"/>
      <w:r w:rsidRPr="007E53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ซิม</w:t>
      </w:r>
      <w:proofErr w:type="spellEnd"/>
      <w:r w:rsidRPr="007E53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ดับก็ย่อมจะไม่สามารถกระทำได้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E53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ซึ่งแน่นอนผู้ที่จะได้รับผลกระทบและความเดือดร้อนคงหนีไม่พ้นประชาชนผู้บริสุทธิ์ซึ่งเป็นผู้ใช้บริการ </w:t>
      </w:r>
    </w:p>
    <w:p w:rsidR="00AF7D5C" w:rsidRPr="00BA1F48" w:rsidRDefault="00AF7D5C" w:rsidP="00AF7D5C">
      <w:pPr>
        <w:spacing w:after="0"/>
        <w:jc w:val="thaiDistribute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/>
          <w:sz w:val="36"/>
          <w:szCs w:val="36"/>
        </w:rPr>
        <w:t>………………………………………………………………………………………………………</w:t>
      </w:r>
    </w:p>
    <w:p w:rsidR="00A9321E" w:rsidRDefault="00A9321E">
      <w:pPr>
        <w:rPr>
          <w:rFonts w:asciiTheme="majorBidi" w:hAnsiTheme="majorBidi" w:cstheme="majorBidi"/>
          <w:sz w:val="36"/>
          <w:szCs w:val="36"/>
        </w:rPr>
      </w:pPr>
    </w:p>
    <w:sectPr w:rsidR="00A9321E" w:rsidSect="00255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0C36"/>
    <w:multiLevelType w:val="hybridMultilevel"/>
    <w:tmpl w:val="9118EBDE"/>
    <w:lvl w:ilvl="0" w:tplc="29867FE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4F45490"/>
    <w:multiLevelType w:val="hybridMultilevel"/>
    <w:tmpl w:val="1D324A4A"/>
    <w:lvl w:ilvl="0" w:tplc="6D6C2EDC">
      <w:start w:val="1"/>
      <w:numFmt w:val="bullet"/>
      <w:lvlText w:val=""/>
      <w:lvlJc w:val="left"/>
      <w:pPr>
        <w:ind w:left="1785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2AF360B1"/>
    <w:multiLevelType w:val="hybridMultilevel"/>
    <w:tmpl w:val="0FB05162"/>
    <w:lvl w:ilvl="0" w:tplc="D2FCC72A">
      <w:start w:val="6"/>
      <w:numFmt w:val="bullet"/>
      <w:lvlText w:val=""/>
      <w:lvlJc w:val="left"/>
      <w:pPr>
        <w:ind w:left="810" w:hanging="72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2ED00D0D"/>
    <w:multiLevelType w:val="hybridMultilevel"/>
    <w:tmpl w:val="67B8675C"/>
    <w:lvl w:ilvl="0" w:tplc="B54813E4">
      <w:numFmt w:val="bullet"/>
      <w:lvlText w:val=""/>
      <w:lvlJc w:val="left"/>
      <w:pPr>
        <w:ind w:left="114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39E65BB"/>
    <w:multiLevelType w:val="hybridMultilevel"/>
    <w:tmpl w:val="ACE45598"/>
    <w:lvl w:ilvl="0" w:tplc="333E44E0">
      <w:numFmt w:val="bullet"/>
      <w:lvlText w:val=""/>
      <w:lvlJc w:val="left"/>
      <w:pPr>
        <w:ind w:left="810" w:hanging="360"/>
      </w:pPr>
      <w:rPr>
        <w:rFonts w:ascii="Symbol" w:eastAsia="Cordia New" w:hAnsi="Symbol" w:cs="Angsana New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351D6158"/>
    <w:multiLevelType w:val="hybridMultilevel"/>
    <w:tmpl w:val="C8587842"/>
    <w:lvl w:ilvl="0" w:tplc="2B3AAF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ED4"/>
    <w:multiLevelType w:val="hybridMultilevel"/>
    <w:tmpl w:val="53D6A046"/>
    <w:lvl w:ilvl="0" w:tplc="A026727A">
      <w:start w:val="4"/>
      <w:numFmt w:val="decimal"/>
      <w:lvlText w:val="%1"/>
      <w:lvlJc w:val="left"/>
      <w:pPr>
        <w:ind w:left="720" w:hanging="360"/>
      </w:pPr>
      <w:rPr>
        <w:rFonts w:ascii="Angsana New" w:eastAsia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D6349"/>
    <w:multiLevelType w:val="hybridMultilevel"/>
    <w:tmpl w:val="4C20FB5A"/>
    <w:lvl w:ilvl="0" w:tplc="A9304A42">
      <w:numFmt w:val="bullet"/>
      <w:lvlText w:val=""/>
      <w:lvlJc w:val="left"/>
      <w:pPr>
        <w:ind w:left="60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467C46CF"/>
    <w:multiLevelType w:val="hybridMultilevel"/>
    <w:tmpl w:val="1D8E3232"/>
    <w:lvl w:ilvl="0" w:tplc="9760D4AA">
      <w:start w:val="4"/>
      <w:numFmt w:val="decimal"/>
      <w:lvlText w:val="%1"/>
      <w:lvlJc w:val="left"/>
      <w:pPr>
        <w:ind w:left="720" w:hanging="360"/>
      </w:pPr>
      <w:rPr>
        <w:rFonts w:ascii="Angsana New" w:eastAsia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26E24"/>
    <w:multiLevelType w:val="multilevel"/>
    <w:tmpl w:val="2EB2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124E60"/>
    <w:multiLevelType w:val="hybridMultilevel"/>
    <w:tmpl w:val="1F9A9F68"/>
    <w:lvl w:ilvl="0" w:tplc="1E560C9C">
      <w:start w:val="25"/>
      <w:numFmt w:val="bullet"/>
      <w:lvlText w:val=""/>
      <w:lvlJc w:val="left"/>
      <w:pPr>
        <w:ind w:left="189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668E1FC0"/>
    <w:multiLevelType w:val="hybridMultilevel"/>
    <w:tmpl w:val="DA301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0593B"/>
    <w:multiLevelType w:val="hybridMultilevel"/>
    <w:tmpl w:val="49CC6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510C8"/>
    <w:multiLevelType w:val="hybridMultilevel"/>
    <w:tmpl w:val="38E87E2C"/>
    <w:lvl w:ilvl="0" w:tplc="537292EE">
      <w:start w:val="4"/>
      <w:numFmt w:val="decimal"/>
      <w:lvlText w:val="%1"/>
      <w:lvlJc w:val="left"/>
      <w:pPr>
        <w:ind w:left="720" w:hanging="360"/>
      </w:pPr>
      <w:rPr>
        <w:rFonts w:ascii="Angsana New" w:eastAsia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42C44"/>
    <w:multiLevelType w:val="multilevel"/>
    <w:tmpl w:val="D5CA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11"/>
  </w:num>
  <w:num w:numId="11">
    <w:abstractNumId w:val="3"/>
  </w:num>
  <w:num w:numId="12">
    <w:abstractNumId w:val="14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A16DEE"/>
    <w:rsid w:val="00053EC5"/>
    <w:rsid w:val="00072B35"/>
    <w:rsid w:val="000916E4"/>
    <w:rsid w:val="000A4393"/>
    <w:rsid w:val="000E587E"/>
    <w:rsid w:val="000F169F"/>
    <w:rsid w:val="001516B8"/>
    <w:rsid w:val="00155E43"/>
    <w:rsid w:val="0016273C"/>
    <w:rsid w:val="001B3622"/>
    <w:rsid w:val="001E570E"/>
    <w:rsid w:val="001F7D82"/>
    <w:rsid w:val="00203801"/>
    <w:rsid w:val="00205D45"/>
    <w:rsid w:val="002221BF"/>
    <w:rsid w:val="00231402"/>
    <w:rsid w:val="002446B9"/>
    <w:rsid w:val="00246CED"/>
    <w:rsid w:val="002523AC"/>
    <w:rsid w:val="00255727"/>
    <w:rsid w:val="00264025"/>
    <w:rsid w:val="00264A16"/>
    <w:rsid w:val="00266112"/>
    <w:rsid w:val="00273944"/>
    <w:rsid w:val="00284A9B"/>
    <w:rsid w:val="00284EBE"/>
    <w:rsid w:val="002C5A04"/>
    <w:rsid w:val="002D320D"/>
    <w:rsid w:val="002F4F97"/>
    <w:rsid w:val="00305B8D"/>
    <w:rsid w:val="00315A16"/>
    <w:rsid w:val="003205C3"/>
    <w:rsid w:val="00335DE8"/>
    <w:rsid w:val="0035051A"/>
    <w:rsid w:val="00361835"/>
    <w:rsid w:val="00374B2B"/>
    <w:rsid w:val="003A1A34"/>
    <w:rsid w:val="003A3964"/>
    <w:rsid w:val="003C5317"/>
    <w:rsid w:val="003C6AF9"/>
    <w:rsid w:val="003D5D36"/>
    <w:rsid w:val="00427759"/>
    <w:rsid w:val="00435A26"/>
    <w:rsid w:val="00441127"/>
    <w:rsid w:val="00444BE1"/>
    <w:rsid w:val="0046632F"/>
    <w:rsid w:val="004677D7"/>
    <w:rsid w:val="004A25A4"/>
    <w:rsid w:val="004D364C"/>
    <w:rsid w:val="004D4C94"/>
    <w:rsid w:val="0050274F"/>
    <w:rsid w:val="005340FB"/>
    <w:rsid w:val="00541EDB"/>
    <w:rsid w:val="0055084D"/>
    <w:rsid w:val="00587787"/>
    <w:rsid w:val="005D288A"/>
    <w:rsid w:val="005E4510"/>
    <w:rsid w:val="005E5E68"/>
    <w:rsid w:val="0060295A"/>
    <w:rsid w:val="00611018"/>
    <w:rsid w:val="00611C0B"/>
    <w:rsid w:val="006178A0"/>
    <w:rsid w:val="00641276"/>
    <w:rsid w:val="006432EB"/>
    <w:rsid w:val="006640EE"/>
    <w:rsid w:val="0067119B"/>
    <w:rsid w:val="00686A53"/>
    <w:rsid w:val="0069757E"/>
    <w:rsid w:val="006D6D7F"/>
    <w:rsid w:val="006E39F1"/>
    <w:rsid w:val="006F4ECD"/>
    <w:rsid w:val="00741815"/>
    <w:rsid w:val="00741CBC"/>
    <w:rsid w:val="0077016A"/>
    <w:rsid w:val="007855D1"/>
    <w:rsid w:val="00795153"/>
    <w:rsid w:val="007A67D0"/>
    <w:rsid w:val="007D361B"/>
    <w:rsid w:val="008106EF"/>
    <w:rsid w:val="00837C3A"/>
    <w:rsid w:val="00845084"/>
    <w:rsid w:val="00865514"/>
    <w:rsid w:val="00876AC6"/>
    <w:rsid w:val="008C11B6"/>
    <w:rsid w:val="008D0527"/>
    <w:rsid w:val="008E2482"/>
    <w:rsid w:val="008E555A"/>
    <w:rsid w:val="008E7539"/>
    <w:rsid w:val="00930166"/>
    <w:rsid w:val="0095504B"/>
    <w:rsid w:val="00995273"/>
    <w:rsid w:val="009A6C44"/>
    <w:rsid w:val="009B2470"/>
    <w:rsid w:val="009C5834"/>
    <w:rsid w:val="009C60E3"/>
    <w:rsid w:val="009D2EE7"/>
    <w:rsid w:val="009E0BE4"/>
    <w:rsid w:val="00A10C89"/>
    <w:rsid w:val="00A16DEE"/>
    <w:rsid w:val="00A31DC1"/>
    <w:rsid w:val="00A3765D"/>
    <w:rsid w:val="00A670CC"/>
    <w:rsid w:val="00A76C21"/>
    <w:rsid w:val="00A802F2"/>
    <w:rsid w:val="00A8647B"/>
    <w:rsid w:val="00A9321E"/>
    <w:rsid w:val="00AC3C1B"/>
    <w:rsid w:val="00AC461A"/>
    <w:rsid w:val="00AF7D5C"/>
    <w:rsid w:val="00B026C4"/>
    <w:rsid w:val="00B078D2"/>
    <w:rsid w:val="00B11010"/>
    <w:rsid w:val="00B53091"/>
    <w:rsid w:val="00B82433"/>
    <w:rsid w:val="00B82616"/>
    <w:rsid w:val="00B85FAF"/>
    <w:rsid w:val="00BD405A"/>
    <w:rsid w:val="00BE0B25"/>
    <w:rsid w:val="00BE39CC"/>
    <w:rsid w:val="00C02364"/>
    <w:rsid w:val="00C242C3"/>
    <w:rsid w:val="00C50A98"/>
    <w:rsid w:val="00C67781"/>
    <w:rsid w:val="00C84343"/>
    <w:rsid w:val="00C85C0B"/>
    <w:rsid w:val="00CA3C6D"/>
    <w:rsid w:val="00D009F0"/>
    <w:rsid w:val="00D12F07"/>
    <w:rsid w:val="00D15E42"/>
    <w:rsid w:val="00D274C8"/>
    <w:rsid w:val="00D31F47"/>
    <w:rsid w:val="00D323D2"/>
    <w:rsid w:val="00D40389"/>
    <w:rsid w:val="00D64238"/>
    <w:rsid w:val="00D64249"/>
    <w:rsid w:val="00D7710C"/>
    <w:rsid w:val="00D771DE"/>
    <w:rsid w:val="00DC4073"/>
    <w:rsid w:val="00DC7BCA"/>
    <w:rsid w:val="00DE2F1F"/>
    <w:rsid w:val="00DE48CD"/>
    <w:rsid w:val="00E06617"/>
    <w:rsid w:val="00E1287B"/>
    <w:rsid w:val="00E46C00"/>
    <w:rsid w:val="00E6120F"/>
    <w:rsid w:val="00E658FF"/>
    <w:rsid w:val="00E67435"/>
    <w:rsid w:val="00E73F55"/>
    <w:rsid w:val="00E822B0"/>
    <w:rsid w:val="00EB4490"/>
    <w:rsid w:val="00EC60F1"/>
    <w:rsid w:val="00ED0AE5"/>
    <w:rsid w:val="00EE09F9"/>
    <w:rsid w:val="00EF0818"/>
    <w:rsid w:val="00EF70B1"/>
    <w:rsid w:val="00F00D9A"/>
    <w:rsid w:val="00F06B34"/>
    <w:rsid w:val="00F24856"/>
    <w:rsid w:val="00F6459A"/>
    <w:rsid w:val="00F7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6B9"/>
    <w:pPr>
      <w:ind w:left="720"/>
      <w:contextualSpacing/>
    </w:pPr>
  </w:style>
  <w:style w:type="character" w:customStyle="1" w:styleId="skypepnhcontainer">
    <w:name w:val="skype_pnh_container"/>
    <w:basedOn w:val="DefaultParagraphFont"/>
    <w:rsid w:val="00741815"/>
    <w:rPr>
      <w:rtl w:val="0"/>
    </w:rPr>
  </w:style>
  <w:style w:type="character" w:customStyle="1" w:styleId="skypepnhmark1">
    <w:name w:val="skype_pnh_mark1"/>
    <w:basedOn w:val="DefaultParagraphFont"/>
    <w:rsid w:val="00741815"/>
    <w:rPr>
      <w:vanish/>
      <w:webHidden w:val="0"/>
      <w:specVanish w:val="0"/>
    </w:rPr>
  </w:style>
  <w:style w:type="paragraph" w:customStyle="1" w:styleId="yiv1514540354msonormal">
    <w:name w:val="yiv1514540354msonormal"/>
    <w:basedOn w:val="Normal"/>
    <w:rsid w:val="007418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yiv1514540354msolistparagraph">
    <w:name w:val="yiv1514540354msolistparagraph"/>
    <w:basedOn w:val="Normal"/>
    <w:rsid w:val="007418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kypepnhprintcontainer1360232039">
    <w:name w:val="skype_pnh_print_container_1360232039"/>
    <w:basedOn w:val="DefaultParagraphFont"/>
    <w:rsid w:val="00741815"/>
  </w:style>
  <w:style w:type="character" w:customStyle="1" w:styleId="skypepnhtextspan">
    <w:name w:val="skype_pnh_text_span"/>
    <w:basedOn w:val="DefaultParagraphFont"/>
    <w:rsid w:val="00741815"/>
  </w:style>
  <w:style w:type="character" w:customStyle="1" w:styleId="skypepnhfreetextspan">
    <w:name w:val="skype_pnh_free_text_span"/>
    <w:basedOn w:val="DefaultParagraphFont"/>
    <w:rsid w:val="00741815"/>
  </w:style>
  <w:style w:type="paragraph" w:customStyle="1" w:styleId="yiv1872482395msonormal">
    <w:name w:val="yiv1872482395msonormal"/>
    <w:basedOn w:val="Normal"/>
    <w:rsid w:val="006432E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yiv1872482395apple-style-span">
    <w:name w:val="yiv1872482395apple-style-span"/>
    <w:basedOn w:val="DefaultParagraphFont"/>
    <w:rsid w:val="006432EB"/>
  </w:style>
  <w:style w:type="paragraph" w:customStyle="1" w:styleId="yiv1872482395msobodytext2">
    <w:name w:val="yiv1872482395msobodytext2"/>
    <w:basedOn w:val="Normal"/>
    <w:rsid w:val="006432E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NormalWeb">
    <w:name w:val="Normal (Web)"/>
    <w:basedOn w:val="Normal"/>
    <w:uiPriority w:val="99"/>
    <w:unhideWhenUsed/>
    <w:rsid w:val="00264A1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4D36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95153"/>
    <w:rPr>
      <w:color w:val="0000FF"/>
      <w:u w:val="single"/>
    </w:rPr>
  </w:style>
  <w:style w:type="paragraph" w:customStyle="1" w:styleId="yiv612429012msonormal">
    <w:name w:val="yiv612429012msonormal"/>
    <w:basedOn w:val="Normal"/>
    <w:rsid w:val="0079515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btn">
    <w:name w:val="btn"/>
    <w:basedOn w:val="DefaultParagraphFont"/>
    <w:rsid w:val="00671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775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22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5603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9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1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7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0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6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0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9229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B8D0-0356-4539-9E85-9D7DE23B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2714</Words>
  <Characters>15471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18149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thanasan.s</cp:lastModifiedBy>
  <cp:revision>3</cp:revision>
  <cp:lastPrinted>2013-08-08T07:51:00Z</cp:lastPrinted>
  <dcterms:created xsi:type="dcterms:W3CDTF">2013-08-08T08:18:00Z</dcterms:created>
  <dcterms:modified xsi:type="dcterms:W3CDTF">2013-08-09T09:37:00Z</dcterms:modified>
</cp:coreProperties>
</file>