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8B" w:rsidRDefault="00055A11" w:rsidP="00EF6067">
      <w:pPr>
        <w:spacing w:after="0"/>
        <w:ind w:right="27"/>
        <w:jc w:val="both"/>
        <w:rPr>
          <w:rFonts w:ascii="Times New Roman" w:hAnsi="Times New Roman" w:cs="Times New Roman"/>
          <w:b/>
          <w:bCs/>
          <w:sz w:val="28"/>
        </w:rPr>
      </w:pPr>
      <w:r w:rsidRPr="00055A11">
        <w:rPr>
          <w:rFonts w:ascii="Times New Roman" w:hAnsi="Times New Roman" w:cs="Times New Roman"/>
          <w:b/>
          <w:bCs/>
          <w:sz w:val="28"/>
        </w:rPr>
        <w:t>Criticisms over the claim that the opportunity cost of the delayed 3G auction is equal to that of the 1800 MHz spectrum auction</w:t>
      </w:r>
    </w:p>
    <w:p w:rsidR="00EF6067" w:rsidRPr="00EF6067" w:rsidRDefault="00EF6067" w:rsidP="00EF6067">
      <w:pPr>
        <w:spacing w:after="0"/>
        <w:ind w:right="27"/>
        <w:jc w:val="both"/>
        <w:rPr>
          <w:rFonts w:ascii="Times New Roman" w:hAnsi="Times New Roman" w:cs="Times New Roman"/>
          <w:b/>
          <w:bCs/>
          <w:sz w:val="24"/>
          <w:szCs w:val="24"/>
        </w:rPr>
      </w:pPr>
    </w:p>
    <w:p w:rsidR="00EF6067" w:rsidRDefault="000E598B" w:rsidP="00EF6067">
      <w:pPr>
        <w:spacing w:after="0"/>
        <w:ind w:left="2880" w:right="27"/>
        <w:jc w:val="right"/>
        <w:rPr>
          <w:rFonts w:ascii="Times New Roman" w:hAnsi="Times New Roman" w:cs="Times New Roman"/>
          <w:sz w:val="24"/>
          <w:szCs w:val="24"/>
        </w:rPr>
      </w:pPr>
      <w:r w:rsidRPr="000E598B">
        <w:rPr>
          <w:rFonts w:ascii="Times New Roman" w:hAnsi="Times New Roman" w:cs="Times New Roman"/>
          <w:sz w:val="24"/>
          <w:szCs w:val="24"/>
        </w:rPr>
        <w:t xml:space="preserve">Dr. </w:t>
      </w:r>
      <w:proofErr w:type="spellStart"/>
      <w:r w:rsidRPr="000E598B">
        <w:rPr>
          <w:rFonts w:ascii="Times New Roman" w:hAnsi="Times New Roman" w:cs="Times New Roman"/>
          <w:sz w:val="24"/>
          <w:szCs w:val="24"/>
        </w:rPr>
        <w:t>Cherdchai</w:t>
      </w:r>
      <w:proofErr w:type="spellEnd"/>
      <w:r w:rsidRPr="000E598B">
        <w:rPr>
          <w:rFonts w:ascii="Times New Roman" w:hAnsi="Times New Roman" w:cs="Times New Roman"/>
          <w:sz w:val="24"/>
          <w:szCs w:val="24"/>
        </w:rPr>
        <w:t xml:space="preserve"> </w:t>
      </w:r>
      <w:proofErr w:type="spellStart"/>
      <w:r w:rsidRPr="000E598B">
        <w:rPr>
          <w:rFonts w:ascii="Times New Roman" w:hAnsi="Times New Roman" w:cs="Times New Roman"/>
          <w:sz w:val="24"/>
          <w:szCs w:val="24"/>
        </w:rPr>
        <w:t>Khunnapa</w:t>
      </w:r>
      <w:proofErr w:type="spellEnd"/>
      <w:r w:rsidRPr="000E598B">
        <w:rPr>
          <w:rFonts w:ascii="Times New Roman" w:hAnsi="Times New Roman" w:cs="Times New Roman"/>
          <w:sz w:val="24"/>
          <w:szCs w:val="24"/>
        </w:rPr>
        <w:t xml:space="preserve"> </w:t>
      </w:r>
    </w:p>
    <w:p w:rsidR="000E598B" w:rsidRPr="000E598B" w:rsidRDefault="000E598B" w:rsidP="00EF6067">
      <w:pPr>
        <w:spacing w:after="0"/>
        <w:ind w:left="2880" w:right="27"/>
        <w:jc w:val="right"/>
        <w:rPr>
          <w:rFonts w:ascii="Times New Roman" w:hAnsi="Times New Roman" w:cs="Times New Roman"/>
          <w:sz w:val="24"/>
          <w:szCs w:val="24"/>
        </w:rPr>
      </w:pPr>
      <w:r w:rsidRPr="000E598B">
        <w:rPr>
          <w:rFonts w:ascii="Times New Roman" w:hAnsi="Times New Roman" w:cs="Times New Roman"/>
          <w:sz w:val="24"/>
          <w:szCs w:val="24"/>
        </w:rPr>
        <w:t xml:space="preserve">Sub-committee Overseeing the 1800 MHz </w:t>
      </w:r>
      <w:r>
        <w:rPr>
          <w:rFonts w:ascii="Times New Roman" w:hAnsi="Times New Roman" w:cs="Times New Roman"/>
          <w:sz w:val="24"/>
          <w:szCs w:val="24"/>
        </w:rPr>
        <w:t xml:space="preserve">Spectrum </w:t>
      </w:r>
      <w:r w:rsidRPr="000E598B">
        <w:rPr>
          <w:rFonts w:ascii="Times New Roman" w:hAnsi="Times New Roman" w:cs="Times New Roman"/>
          <w:sz w:val="24"/>
          <w:szCs w:val="24"/>
        </w:rPr>
        <w:t>Auction</w:t>
      </w:r>
    </w:p>
    <w:p w:rsidR="00602B77" w:rsidRPr="000E598B" w:rsidRDefault="00602B77" w:rsidP="00EF6067">
      <w:pPr>
        <w:spacing w:after="0"/>
        <w:ind w:right="27" w:firstLine="720"/>
        <w:jc w:val="both"/>
        <w:rPr>
          <w:rFonts w:ascii="Times New Roman" w:hAnsi="Times New Roman" w:cs="Times New Roman"/>
          <w:sz w:val="24"/>
          <w:szCs w:val="24"/>
        </w:rPr>
      </w:pPr>
    </w:p>
    <w:p w:rsidR="00466D24" w:rsidRDefault="006D7339" w:rsidP="00EF6067">
      <w:pPr>
        <w:spacing w:after="0"/>
        <w:ind w:right="27" w:firstLine="720"/>
        <w:jc w:val="both"/>
        <w:rPr>
          <w:rFonts w:ascii="Times New Roman" w:hAnsi="Times New Roman" w:cs="Times New Roman"/>
          <w:sz w:val="24"/>
          <w:szCs w:val="24"/>
        </w:rPr>
      </w:pPr>
      <w:r w:rsidRPr="00EF4CC3">
        <w:rPr>
          <w:rFonts w:ascii="Times New Roman" w:hAnsi="Times New Roman" w:cs="Times New Roman"/>
          <w:sz w:val="24"/>
          <w:szCs w:val="24"/>
        </w:rPr>
        <w:t>An opportunity cost for one situation only applies to that situation. Thus, the fact that some academic group calculate</w:t>
      </w:r>
      <w:r w:rsidR="000E598B">
        <w:rPr>
          <w:rFonts w:ascii="Times New Roman" w:hAnsi="Times New Roman" w:cs="Times New Roman"/>
          <w:sz w:val="24"/>
          <w:szCs w:val="24"/>
        </w:rPr>
        <w:t>s</w:t>
      </w:r>
      <w:r w:rsidRPr="00EF4CC3">
        <w:rPr>
          <w:rFonts w:ascii="Times New Roman" w:hAnsi="Times New Roman" w:cs="Times New Roman"/>
          <w:sz w:val="24"/>
          <w:szCs w:val="24"/>
        </w:rPr>
        <w:t xml:space="preserve"> the opportunity cost of the postponement of </w:t>
      </w:r>
      <w:r w:rsidR="00275C33">
        <w:rPr>
          <w:rFonts w:ascii="Times New Roman" w:hAnsi="Times New Roman" w:cs="Times New Roman"/>
          <w:sz w:val="24"/>
          <w:szCs w:val="24"/>
        </w:rPr>
        <w:t xml:space="preserve">the </w:t>
      </w:r>
      <w:r w:rsidRPr="00EF4CC3">
        <w:rPr>
          <w:rFonts w:ascii="Times New Roman" w:hAnsi="Times New Roman" w:cs="Times New Roman"/>
          <w:sz w:val="24"/>
          <w:szCs w:val="24"/>
        </w:rPr>
        <w:t>3G auction and applies it to the</w:t>
      </w:r>
      <w:r w:rsidR="00275C33">
        <w:rPr>
          <w:rFonts w:ascii="Times New Roman" w:hAnsi="Times New Roman" w:cs="Times New Roman"/>
          <w:sz w:val="24"/>
          <w:szCs w:val="24"/>
        </w:rPr>
        <w:t xml:space="preserve"> prior-to-the-end-of-the-concession</w:t>
      </w:r>
      <w:r w:rsidRPr="00EF4CC3">
        <w:rPr>
          <w:rFonts w:ascii="Times New Roman" w:hAnsi="Times New Roman" w:cs="Times New Roman"/>
          <w:sz w:val="24"/>
          <w:szCs w:val="24"/>
        </w:rPr>
        <w:t xml:space="preserve"> 1800 MHz auction is inaccurate. They claimed that the absence of 1800 MHz auction prior to the end of the concession has caused the public an opportunity cost to use 4G techno</w:t>
      </w:r>
      <w:r w:rsidR="00275C33">
        <w:rPr>
          <w:rFonts w:ascii="Times New Roman" w:hAnsi="Times New Roman" w:cs="Times New Roman"/>
          <w:sz w:val="24"/>
          <w:szCs w:val="24"/>
        </w:rPr>
        <w:t xml:space="preserve">logy, totaling 160 billion Baht. Such calculation is inaccurate and causes misunderstanding. </w:t>
      </w:r>
      <w:r w:rsidR="00A1609B">
        <w:rPr>
          <w:rFonts w:ascii="Times New Roman" w:hAnsi="Times New Roman" w:cs="Times New Roman"/>
          <w:sz w:val="24"/>
          <w:szCs w:val="24"/>
        </w:rPr>
        <w:t>The reasons supporting my view are as follows:</w:t>
      </w:r>
    </w:p>
    <w:p w:rsidR="00602B77" w:rsidRDefault="00602B77" w:rsidP="00EF6067">
      <w:pPr>
        <w:spacing w:after="0"/>
        <w:ind w:right="27" w:firstLine="720"/>
        <w:jc w:val="both"/>
        <w:rPr>
          <w:rFonts w:ascii="Times New Roman" w:hAnsi="Times New Roman" w:cs="Times New Roman"/>
          <w:sz w:val="24"/>
          <w:szCs w:val="24"/>
        </w:rPr>
      </w:pPr>
    </w:p>
    <w:p w:rsidR="00275C33" w:rsidRDefault="00275C33" w:rsidP="00EF6067">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We all know that an opportunity cost is the act not completed or the value not received for doing some other thing.</w:t>
      </w:r>
    </w:p>
    <w:p w:rsidR="00F41530" w:rsidRDefault="00F41530" w:rsidP="00EF6067">
      <w:pPr>
        <w:pStyle w:val="ListParagraph"/>
        <w:spacing w:after="0"/>
        <w:ind w:left="1080" w:right="27"/>
        <w:jc w:val="both"/>
        <w:rPr>
          <w:rFonts w:ascii="Times New Roman" w:hAnsi="Times New Roman" w:cs="Times New Roman"/>
          <w:sz w:val="24"/>
          <w:szCs w:val="24"/>
        </w:rPr>
      </w:pPr>
    </w:p>
    <w:p w:rsidR="00275C33" w:rsidRDefault="00275C33" w:rsidP="00EF6067">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 xml:space="preserve">Between 2009 and 2012 Thailand did not hold an auction of the 2100 MHz in the amount of 45 MHz bandwidth. As a result, some groups raised doubts that this may cause damage to the country and </w:t>
      </w:r>
      <w:r w:rsidR="00824B56">
        <w:rPr>
          <w:rFonts w:ascii="Times New Roman" w:hAnsi="Times New Roman" w:cs="Times New Roman"/>
          <w:sz w:val="24"/>
          <w:szCs w:val="24"/>
        </w:rPr>
        <w:t>the damage is called “opportunity cost.” This brings up calculation of the opportunity cost.</w:t>
      </w:r>
    </w:p>
    <w:p w:rsidR="00F41530" w:rsidRPr="00F41530" w:rsidRDefault="00F41530" w:rsidP="00EF6067">
      <w:pPr>
        <w:spacing w:after="0"/>
        <w:ind w:right="27"/>
        <w:jc w:val="both"/>
        <w:rPr>
          <w:rFonts w:ascii="Times New Roman" w:hAnsi="Times New Roman" w:cs="Times New Roman"/>
          <w:sz w:val="24"/>
          <w:szCs w:val="24"/>
        </w:rPr>
      </w:pPr>
    </w:p>
    <w:p w:rsidR="00824B56" w:rsidRDefault="00824B56" w:rsidP="00EF6067">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 xml:space="preserve">Later, 25MHz bandwidth of 1800 MHz spectrum expired in 2013 and </w:t>
      </w:r>
      <w:r w:rsidR="00EF6067">
        <w:rPr>
          <w:rFonts w:ascii="Times New Roman" w:hAnsi="Times New Roman" w:cs="Times New Roman"/>
          <w:sz w:val="24"/>
          <w:szCs w:val="24"/>
        </w:rPr>
        <w:t>is</w:t>
      </w:r>
      <w:r>
        <w:rPr>
          <w:rFonts w:ascii="Times New Roman" w:hAnsi="Times New Roman" w:cs="Times New Roman"/>
          <w:sz w:val="24"/>
          <w:szCs w:val="24"/>
        </w:rPr>
        <w:t xml:space="preserve"> </w:t>
      </w:r>
      <w:r w:rsidR="00A1609B">
        <w:rPr>
          <w:rFonts w:ascii="Times New Roman" w:hAnsi="Times New Roman" w:cs="Times New Roman"/>
          <w:sz w:val="24"/>
          <w:szCs w:val="24"/>
        </w:rPr>
        <w:t>available for assig</w:t>
      </w:r>
      <w:r w:rsidR="00EF6067">
        <w:rPr>
          <w:rFonts w:ascii="Times New Roman" w:hAnsi="Times New Roman" w:cs="Times New Roman"/>
          <w:sz w:val="24"/>
          <w:szCs w:val="24"/>
        </w:rPr>
        <w:t>n</w:t>
      </w:r>
      <w:r w:rsidR="00A1609B">
        <w:rPr>
          <w:rFonts w:ascii="Times New Roman" w:hAnsi="Times New Roman" w:cs="Times New Roman"/>
          <w:sz w:val="24"/>
          <w:szCs w:val="24"/>
        </w:rPr>
        <w:t>ment</w:t>
      </w:r>
      <w:r>
        <w:rPr>
          <w:rFonts w:ascii="Times New Roman" w:hAnsi="Times New Roman" w:cs="Times New Roman"/>
          <w:sz w:val="24"/>
          <w:szCs w:val="24"/>
        </w:rPr>
        <w:t xml:space="preserve">. This was (1) a part of the switch from the spectrum assignment by </w:t>
      </w:r>
      <w:r w:rsidR="00222772">
        <w:rPr>
          <w:rFonts w:ascii="Times New Roman" w:hAnsi="Times New Roman" w:cs="Times New Roman"/>
          <w:sz w:val="24"/>
          <w:szCs w:val="24"/>
        </w:rPr>
        <w:t xml:space="preserve">the </w:t>
      </w:r>
      <w:r>
        <w:rPr>
          <w:rFonts w:ascii="Times New Roman" w:hAnsi="Times New Roman" w:cs="Times New Roman"/>
          <w:sz w:val="24"/>
          <w:szCs w:val="24"/>
        </w:rPr>
        <w:t xml:space="preserve">concession system to </w:t>
      </w:r>
      <w:r w:rsidR="00222772">
        <w:rPr>
          <w:rFonts w:ascii="Times New Roman" w:hAnsi="Times New Roman" w:cs="Times New Roman"/>
          <w:sz w:val="24"/>
          <w:szCs w:val="24"/>
        </w:rPr>
        <w:t xml:space="preserve">the </w:t>
      </w:r>
      <w:r>
        <w:rPr>
          <w:rFonts w:ascii="Times New Roman" w:hAnsi="Times New Roman" w:cs="Times New Roman"/>
          <w:sz w:val="24"/>
          <w:szCs w:val="24"/>
        </w:rPr>
        <w:t>licensing system and (2) a part of consumer protection (since 18 million consumers will be affected by the 1800 MHz s</w:t>
      </w:r>
      <w:r w:rsidR="00222772">
        <w:rPr>
          <w:rFonts w:ascii="Times New Roman" w:hAnsi="Times New Roman" w:cs="Times New Roman"/>
          <w:sz w:val="24"/>
          <w:szCs w:val="24"/>
        </w:rPr>
        <w:t>pectrum auction)</w:t>
      </w:r>
      <w:r>
        <w:rPr>
          <w:rFonts w:ascii="Times New Roman" w:hAnsi="Times New Roman" w:cs="Times New Roman"/>
          <w:sz w:val="24"/>
          <w:szCs w:val="24"/>
        </w:rPr>
        <w:t xml:space="preserve">. Under </w:t>
      </w:r>
      <w:r w:rsidR="00987A7B">
        <w:rPr>
          <w:rFonts w:ascii="Times New Roman" w:hAnsi="Times New Roman" w:cs="Times New Roman"/>
          <w:sz w:val="24"/>
          <w:szCs w:val="24"/>
        </w:rPr>
        <w:t>the</w:t>
      </w:r>
      <w:r>
        <w:rPr>
          <w:rFonts w:ascii="Times New Roman" w:hAnsi="Times New Roman" w:cs="Times New Roman"/>
          <w:sz w:val="24"/>
          <w:szCs w:val="24"/>
        </w:rPr>
        <w:t xml:space="preserve"> context</w:t>
      </w:r>
      <w:r w:rsidR="00987A7B">
        <w:rPr>
          <w:rFonts w:ascii="Times New Roman" w:hAnsi="Times New Roman" w:cs="Times New Roman"/>
          <w:sz w:val="24"/>
          <w:szCs w:val="24"/>
        </w:rPr>
        <w:t xml:space="preserve"> </w:t>
      </w:r>
      <w:r w:rsidR="00A1609B">
        <w:rPr>
          <w:rFonts w:ascii="Times New Roman" w:hAnsi="Times New Roman" w:cs="Times New Roman"/>
          <w:sz w:val="24"/>
          <w:szCs w:val="24"/>
        </w:rPr>
        <w:t>of</w:t>
      </w:r>
      <w:r w:rsidR="00987A7B">
        <w:rPr>
          <w:rFonts w:ascii="Times New Roman" w:hAnsi="Times New Roman" w:cs="Times New Roman"/>
          <w:sz w:val="24"/>
          <w:szCs w:val="24"/>
        </w:rPr>
        <w:t xml:space="preserve"> switching from the concession to</w:t>
      </w:r>
      <w:r w:rsidR="00222772">
        <w:rPr>
          <w:rFonts w:ascii="Times New Roman" w:hAnsi="Times New Roman" w:cs="Times New Roman"/>
          <w:sz w:val="24"/>
          <w:szCs w:val="24"/>
        </w:rPr>
        <w:t xml:space="preserve"> the</w:t>
      </w:r>
      <w:r w:rsidR="00987A7B">
        <w:rPr>
          <w:rFonts w:ascii="Times New Roman" w:hAnsi="Times New Roman" w:cs="Times New Roman"/>
          <w:sz w:val="24"/>
          <w:szCs w:val="24"/>
        </w:rPr>
        <w:t xml:space="preserve"> licensing system</w:t>
      </w:r>
      <w:r w:rsidR="00A1609B">
        <w:rPr>
          <w:rFonts w:ascii="Times New Roman" w:hAnsi="Times New Roman" w:cs="Times New Roman"/>
          <w:sz w:val="24"/>
          <w:szCs w:val="24"/>
        </w:rPr>
        <w:t xml:space="preserve"> and that of the necessity to protect interests of the subscribers in the system</w:t>
      </w:r>
      <w:r>
        <w:rPr>
          <w:rFonts w:ascii="Times New Roman" w:hAnsi="Times New Roman" w:cs="Times New Roman"/>
          <w:sz w:val="24"/>
          <w:szCs w:val="24"/>
        </w:rPr>
        <w:t>, there will always</w:t>
      </w:r>
      <w:r w:rsidR="00222772">
        <w:rPr>
          <w:rFonts w:ascii="Times New Roman" w:hAnsi="Times New Roman" w:cs="Times New Roman"/>
          <w:sz w:val="24"/>
          <w:szCs w:val="24"/>
        </w:rPr>
        <w:t xml:space="preserve"> be</w:t>
      </w:r>
      <w:r>
        <w:rPr>
          <w:rFonts w:ascii="Times New Roman" w:hAnsi="Times New Roman" w:cs="Times New Roman"/>
          <w:sz w:val="24"/>
          <w:szCs w:val="24"/>
        </w:rPr>
        <w:t xml:space="preserve"> </w:t>
      </w:r>
      <w:r w:rsidR="00987A7B">
        <w:rPr>
          <w:rFonts w:ascii="Times New Roman" w:hAnsi="Times New Roman" w:cs="Times New Roman"/>
          <w:sz w:val="24"/>
          <w:szCs w:val="24"/>
        </w:rPr>
        <w:t>an opportunity cost</w:t>
      </w:r>
      <w:r w:rsidR="00B07D93">
        <w:rPr>
          <w:rFonts w:ascii="Times New Roman" w:hAnsi="Times New Roman" w:cs="Times New Roman"/>
          <w:sz w:val="24"/>
          <w:szCs w:val="24"/>
        </w:rPr>
        <w:t>.</w:t>
      </w:r>
      <w:r w:rsidR="00A1609B">
        <w:rPr>
          <w:rFonts w:ascii="Times New Roman" w:hAnsi="Times New Roman" w:cs="Times New Roman"/>
          <w:sz w:val="24"/>
          <w:szCs w:val="24"/>
        </w:rPr>
        <w:t xml:space="preserve"> I</w:t>
      </w:r>
      <w:r w:rsidR="00B07D93">
        <w:rPr>
          <w:rFonts w:ascii="Times New Roman" w:hAnsi="Times New Roman" w:cs="Times New Roman"/>
          <w:sz w:val="24"/>
          <w:szCs w:val="24"/>
        </w:rPr>
        <w:t xml:space="preserve">f Thailand is unable to switch to the licensing system, there will be opportunity cost because the growing economy is </w:t>
      </w:r>
      <w:r w:rsidR="005904EB">
        <w:rPr>
          <w:rFonts w:ascii="Times New Roman" w:hAnsi="Times New Roman" w:cs="Times New Roman"/>
          <w:sz w:val="24"/>
          <w:szCs w:val="24"/>
        </w:rPr>
        <w:t>hindered. The</w:t>
      </w:r>
      <w:r w:rsidR="00B07D93">
        <w:rPr>
          <w:rFonts w:ascii="Times New Roman" w:hAnsi="Times New Roman" w:cs="Times New Roman"/>
          <w:sz w:val="24"/>
          <w:szCs w:val="24"/>
        </w:rPr>
        <w:t xml:space="preserve"> amo</w:t>
      </w:r>
      <w:r w:rsidR="005904EB">
        <w:rPr>
          <w:rFonts w:ascii="Times New Roman" w:hAnsi="Times New Roman" w:cs="Times New Roman"/>
          <w:sz w:val="24"/>
          <w:szCs w:val="24"/>
        </w:rPr>
        <w:t xml:space="preserve">unt of service provided and the price in the telecommunications market will be dictated by one or several operators. It is likely that the service provided will be reduced and the price increased. (More details to follow in </w:t>
      </w:r>
      <w:r w:rsidR="00FA48A4">
        <w:rPr>
          <w:rFonts w:ascii="Times New Roman" w:hAnsi="Times New Roman" w:cs="Times New Roman"/>
          <w:sz w:val="24"/>
          <w:szCs w:val="24"/>
        </w:rPr>
        <w:t xml:space="preserve">no. </w:t>
      </w:r>
      <w:r w:rsidR="00A1609B">
        <w:rPr>
          <w:rFonts w:ascii="Times New Roman" w:hAnsi="Times New Roman" w:cs="Times New Roman"/>
          <w:sz w:val="24"/>
          <w:szCs w:val="24"/>
        </w:rPr>
        <w:t>6.). As a regulator, NBTC has to</w:t>
      </w:r>
      <w:r w:rsidR="00EF6067">
        <w:rPr>
          <w:rFonts w:ascii="Times New Roman" w:hAnsi="Times New Roman" w:cs="Times New Roman"/>
          <w:sz w:val="24"/>
          <w:szCs w:val="24"/>
        </w:rPr>
        <w:t xml:space="preserve"> apply proper mechanism to make the</w:t>
      </w:r>
      <w:r w:rsidR="00A1609B">
        <w:rPr>
          <w:rFonts w:ascii="Times New Roman" w:hAnsi="Times New Roman" w:cs="Times New Roman"/>
          <w:sz w:val="24"/>
          <w:szCs w:val="24"/>
        </w:rPr>
        <w:t xml:space="preserve"> change to the licensing system smoothly and effectively.</w:t>
      </w:r>
    </w:p>
    <w:p w:rsidR="00F41530" w:rsidRPr="00F41530" w:rsidRDefault="00F41530" w:rsidP="00EF6067">
      <w:pPr>
        <w:spacing w:after="0"/>
        <w:ind w:right="27"/>
        <w:jc w:val="both"/>
        <w:rPr>
          <w:rFonts w:ascii="Times New Roman" w:hAnsi="Times New Roman" w:cs="Times New Roman"/>
          <w:sz w:val="24"/>
          <w:szCs w:val="24"/>
        </w:rPr>
      </w:pPr>
    </w:p>
    <w:p w:rsidR="005904EB" w:rsidRDefault="005904EB" w:rsidP="00EF6067">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Some academic group equate</w:t>
      </w:r>
      <w:r w:rsidR="006761EB">
        <w:rPr>
          <w:rFonts w:ascii="Times New Roman" w:hAnsi="Times New Roman" w:cs="Times New Roman"/>
          <w:sz w:val="24"/>
          <w:szCs w:val="24"/>
        </w:rPr>
        <w:t>s</w:t>
      </w:r>
      <w:r>
        <w:rPr>
          <w:rFonts w:ascii="Times New Roman" w:hAnsi="Times New Roman" w:cs="Times New Roman"/>
          <w:sz w:val="24"/>
          <w:szCs w:val="24"/>
        </w:rPr>
        <w:t xml:space="preserve"> the opportunity cost in the case of the absence of 2100 MHz spectrum auction over the period of 2009-2012 (No. 2 above) to that in the case of the lack of 1800 MHz spectrum auction in 2013. This calculation indicates the lack of understanding of the situation and </w:t>
      </w:r>
      <w:r w:rsidR="00EF6067">
        <w:rPr>
          <w:rFonts w:ascii="Times New Roman" w:hAnsi="Times New Roman" w:cs="Times New Roman"/>
          <w:sz w:val="24"/>
          <w:szCs w:val="24"/>
        </w:rPr>
        <w:t>ignorance</w:t>
      </w:r>
      <w:r w:rsidR="00F84859">
        <w:rPr>
          <w:rFonts w:ascii="Times New Roman" w:hAnsi="Times New Roman" w:cs="Times New Roman"/>
          <w:sz w:val="24"/>
          <w:szCs w:val="24"/>
        </w:rPr>
        <w:t xml:space="preserve"> of accurate analysis. The opportunity cost of the absence of 1800 MHz auction in 2013 relates to the switch from the concession to the licensing system and consumer </w:t>
      </w:r>
      <w:r w:rsidR="00F84859">
        <w:rPr>
          <w:rFonts w:ascii="Times New Roman" w:hAnsi="Times New Roman" w:cs="Times New Roman"/>
          <w:sz w:val="24"/>
          <w:szCs w:val="24"/>
        </w:rPr>
        <w:lastRenderedPageBreak/>
        <w:t>protection.</w:t>
      </w:r>
      <w:r w:rsidR="00222772">
        <w:rPr>
          <w:rFonts w:ascii="Times New Roman" w:hAnsi="Times New Roman" w:cs="Times New Roman"/>
          <w:sz w:val="24"/>
          <w:szCs w:val="24"/>
        </w:rPr>
        <w:t xml:space="preserve"> T</w:t>
      </w:r>
      <w:r w:rsidR="00F84859">
        <w:rPr>
          <w:rFonts w:ascii="Times New Roman" w:hAnsi="Times New Roman" w:cs="Times New Roman"/>
          <w:sz w:val="24"/>
          <w:szCs w:val="24"/>
        </w:rPr>
        <w:t>he situation of the lack of 1800 MHz spectrum auction has not arisen. The opportunity cost claimed is conjectural.</w:t>
      </w:r>
    </w:p>
    <w:p w:rsidR="00F41530" w:rsidRPr="00F41530" w:rsidRDefault="00F41530" w:rsidP="00EF6067">
      <w:pPr>
        <w:spacing w:after="0"/>
        <w:ind w:right="27"/>
        <w:jc w:val="both"/>
        <w:rPr>
          <w:rFonts w:ascii="Times New Roman" w:hAnsi="Times New Roman" w:cs="Times New Roman"/>
          <w:sz w:val="24"/>
          <w:szCs w:val="24"/>
        </w:rPr>
      </w:pPr>
    </w:p>
    <w:p w:rsidR="00F84859" w:rsidRPr="00A1609B" w:rsidRDefault="00055A11" w:rsidP="00EF6067">
      <w:pPr>
        <w:pStyle w:val="ListParagraph"/>
        <w:numPr>
          <w:ilvl w:val="0"/>
          <w:numId w:val="1"/>
        </w:numPr>
        <w:spacing w:after="0"/>
        <w:ind w:right="27"/>
        <w:jc w:val="both"/>
        <w:rPr>
          <w:rFonts w:ascii="Times New Roman" w:hAnsi="Times New Roman" w:cs="Times New Roman"/>
          <w:b/>
          <w:bCs/>
          <w:sz w:val="24"/>
          <w:szCs w:val="24"/>
        </w:rPr>
      </w:pPr>
      <w:r w:rsidRPr="00A1609B">
        <w:rPr>
          <w:rFonts w:ascii="Times New Roman" w:hAnsi="Times New Roman" w:cs="Times New Roman"/>
          <w:b/>
          <w:bCs/>
          <w:sz w:val="24"/>
          <w:szCs w:val="24"/>
        </w:rPr>
        <w:t>The substitution of the opportunity cost of one situation (2100 MHz auction in 2009-2012) and that of another situation (1800 MHz spectrum auction in 2013) is inaccurate. The opportunity cost of a specific situation only applies to that situation</w:t>
      </w:r>
      <w:r w:rsidR="00FA48A4" w:rsidRPr="00A1609B">
        <w:rPr>
          <w:rFonts w:ascii="Times New Roman" w:hAnsi="Times New Roman" w:cs="Times New Roman"/>
          <w:b/>
          <w:bCs/>
          <w:sz w:val="24"/>
          <w:szCs w:val="24"/>
        </w:rPr>
        <w:t>. Variables for one situation are particular to that situation. The conclusion of one situation cannot be assumed to be the conclusion of another situation – because of different contexts and variables.</w:t>
      </w:r>
    </w:p>
    <w:p w:rsidR="00F41530" w:rsidRPr="00F41530" w:rsidRDefault="00F41530" w:rsidP="00EF6067">
      <w:pPr>
        <w:spacing w:after="0"/>
        <w:ind w:right="27"/>
        <w:jc w:val="both"/>
        <w:rPr>
          <w:rFonts w:ascii="Times New Roman" w:hAnsi="Times New Roman" w:cs="Times New Roman"/>
          <w:sz w:val="24"/>
          <w:szCs w:val="24"/>
        </w:rPr>
      </w:pPr>
    </w:p>
    <w:p w:rsidR="00FA48A4" w:rsidRDefault="00FA48A4" w:rsidP="00EF6067">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 xml:space="preserve">As mentioned in no. 3 above, the failure to switch to the licensing system means Thailand’s telecommunications industry will be driven by the concession system, which yields a completely different outcome. The licensing system aims at creation of competition in the market, encouragement of horizontal value creation and generation of income in various industries relating to telecommunications. This is different in the concession system. The concession system prevents value creation and income generation by limiting income to be solely in the hands of the concessionaire. </w:t>
      </w:r>
      <w:r w:rsidR="00600013">
        <w:rPr>
          <w:rFonts w:ascii="Times New Roman" w:hAnsi="Times New Roman" w:cs="Times New Roman"/>
          <w:sz w:val="24"/>
          <w:szCs w:val="24"/>
        </w:rPr>
        <w:t>It is a system that survives by economic rent seeking (also called “monopoly rent”). It should be stressed that this “rent” results from a monopoly. From the graph, the price charged under the concession system is P</w:t>
      </w:r>
      <w:r w:rsidR="00600013" w:rsidRPr="00600013">
        <w:rPr>
          <w:rFonts w:ascii="Times New Roman" w:hAnsi="Times New Roman" w:cs="Times New Roman"/>
          <w:sz w:val="24"/>
          <w:szCs w:val="24"/>
          <w:vertAlign w:val="subscript"/>
        </w:rPr>
        <w:t>m</w:t>
      </w:r>
      <w:r w:rsidR="00600013">
        <w:rPr>
          <w:rFonts w:ascii="Times New Roman" w:hAnsi="Times New Roman" w:cs="Times New Roman"/>
          <w:sz w:val="24"/>
          <w:szCs w:val="24"/>
        </w:rPr>
        <w:t xml:space="preserve"> and the amount of service provided is </w:t>
      </w:r>
      <w:proofErr w:type="spellStart"/>
      <w:r w:rsidR="00600013">
        <w:rPr>
          <w:rFonts w:ascii="Times New Roman" w:hAnsi="Times New Roman" w:cs="Times New Roman"/>
          <w:sz w:val="24"/>
          <w:szCs w:val="24"/>
        </w:rPr>
        <w:t>Q</w:t>
      </w:r>
      <w:r w:rsidR="00600013" w:rsidRPr="00600013">
        <w:rPr>
          <w:rFonts w:ascii="Times New Roman" w:hAnsi="Times New Roman" w:cs="Times New Roman"/>
          <w:sz w:val="24"/>
          <w:szCs w:val="24"/>
          <w:vertAlign w:val="subscript"/>
        </w:rPr>
        <w:t>m</w:t>
      </w:r>
      <w:proofErr w:type="spellEnd"/>
      <w:r w:rsidR="00600013">
        <w:rPr>
          <w:rFonts w:ascii="Times New Roman" w:hAnsi="Times New Roman" w:cs="Times New Roman"/>
          <w:sz w:val="24"/>
          <w:szCs w:val="24"/>
        </w:rPr>
        <w:t xml:space="preserve"> – which is less than that in a cost-based pricing system or the licensing system.</w:t>
      </w:r>
    </w:p>
    <w:p w:rsidR="00602B77" w:rsidRDefault="00602B77" w:rsidP="00EF6067">
      <w:pPr>
        <w:pStyle w:val="ListParagraph"/>
        <w:spacing w:after="0"/>
        <w:ind w:left="1080" w:right="27"/>
        <w:jc w:val="both"/>
        <w:rPr>
          <w:rFonts w:ascii="Times New Roman" w:hAnsi="Times New Roman" w:cs="Times New Roman"/>
          <w:sz w:val="24"/>
          <w:szCs w:val="24"/>
        </w:rPr>
      </w:pPr>
    </w:p>
    <w:p w:rsidR="0040789C" w:rsidRPr="00600013" w:rsidRDefault="0040789C" w:rsidP="00EF6067">
      <w:pPr>
        <w:pStyle w:val="ListParagraph"/>
        <w:numPr>
          <w:ilvl w:val="1"/>
          <w:numId w:val="1"/>
        </w:numPr>
        <w:spacing w:after="0"/>
        <w:ind w:right="27"/>
        <w:jc w:val="both"/>
        <w:rPr>
          <w:rFonts w:ascii="Times New Roman" w:hAnsi="Times New Roman" w:cs="Times New Roman"/>
          <w:b/>
          <w:bCs/>
          <w:sz w:val="24"/>
          <w:szCs w:val="24"/>
        </w:rPr>
      </w:pPr>
      <w:r w:rsidRPr="00600013">
        <w:rPr>
          <w:rFonts w:ascii="Times New Roman" w:hAnsi="Times New Roman" w:cs="Times New Roman"/>
          <w:b/>
          <w:bCs/>
          <w:sz w:val="24"/>
          <w:szCs w:val="24"/>
        </w:rPr>
        <w:t>Cost-based pricing system</w:t>
      </w:r>
    </w:p>
    <w:p w:rsidR="0040789C" w:rsidRDefault="0040789C" w:rsidP="00EF6067">
      <w:pPr>
        <w:spacing w:after="0"/>
        <w:ind w:left="1800" w:right="27"/>
        <w:jc w:val="both"/>
        <w:rPr>
          <w:rFonts w:ascii="Times New Roman" w:hAnsi="Times New Roman" w:cs="Times New Roman"/>
          <w:sz w:val="24"/>
          <w:szCs w:val="24"/>
        </w:rPr>
      </w:pPr>
      <w:r>
        <w:rPr>
          <w:rFonts w:ascii="Times New Roman" w:hAnsi="Times New Roman" w:cs="Times New Roman"/>
          <w:sz w:val="24"/>
          <w:szCs w:val="24"/>
        </w:rPr>
        <w:t>In the cost-based pricing system, the price charged is at P</w:t>
      </w:r>
      <w:r w:rsidRPr="00600013">
        <w:rPr>
          <w:rFonts w:ascii="Times New Roman" w:hAnsi="Times New Roman" w:cs="Times New Roman"/>
          <w:sz w:val="24"/>
          <w:szCs w:val="24"/>
          <w:vertAlign w:val="subscript"/>
        </w:rPr>
        <w:t>p</w:t>
      </w:r>
      <w:r>
        <w:rPr>
          <w:rFonts w:ascii="Times New Roman" w:hAnsi="Times New Roman" w:cs="Times New Roman"/>
          <w:sz w:val="24"/>
          <w:szCs w:val="24"/>
        </w:rPr>
        <w:t xml:space="preserve"> (which is lower than P</w:t>
      </w:r>
      <w:r w:rsidRPr="00600013">
        <w:rPr>
          <w:rFonts w:ascii="Times New Roman" w:hAnsi="Times New Roman" w:cs="Times New Roman"/>
          <w:sz w:val="24"/>
          <w:szCs w:val="24"/>
          <w:vertAlign w:val="subscript"/>
        </w:rPr>
        <w:t>m</w:t>
      </w:r>
      <w:r>
        <w:rPr>
          <w:rFonts w:ascii="Times New Roman" w:hAnsi="Times New Roman" w:cs="Times New Roman"/>
          <w:sz w:val="24"/>
          <w:szCs w:val="24"/>
        </w:rPr>
        <w:t xml:space="preserve">) and the amount of service provided is </w:t>
      </w:r>
      <w:proofErr w:type="spellStart"/>
      <w:r>
        <w:rPr>
          <w:rFonts w:ascii="Times New Roman" w:hAnsi="Times New Roman" w:cs="Times New Roman"/>
          <w:sz w:val="24"/>
          <w:szCs w:val="24"/>
        </w:rPr>
        <w:t>Q</w:t>
      </w:r>
      <w:r w:rsidRPr="00600013">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(which is high than </w:t>
      </w:r>
      <w:proofErr w:type="spellStart"/>
      <w:r>
        <w:rPr>
          <w:rFonts w:ascii="Times New Roman" w:hAnsi="Times New Roman" w:cs="Times New Roman"/>
          <w:sz w:val="24"/>
          <w:szCs w:val="24"/>
        </w:rPr>
        <w:t>Q</w:t>
      </w:r>
      <w:r w:rsidRPr="00600013">
        <w:rPr>
          <w:rFonts w:ascii="Times New Roman" w:hAnsi="Times New Roman" w:cs="Times New Roman"/>
          <w:sz w:val="24"/>
          <w:szCs w:val="24"/>
          <w:vertAlign w:val="subscript"/>
        </w:rPr>
        <w:t>m</w:t>
      </w:r>
      <w:proofErr w:type="spellEnd"/>
      <w:r>
        <w:rPr>
          <w:rFonts w:ascii="Times New Roman" w:hAnsi="Times New Roman" w:cs="Times New Roman"/>
          <w:sz w:val="24"/>
          <w:szCs w:val="24"/>
        </w:rPr>
        <w:t>).</w:t>
      </w:r>
    </w:p>
    <w:p w:rsidR="00602B77" w:rsidRPr="00600013" w:rsidRDefault="00602B77" w:rsidP="00EF6067">
      <w:pPr>
        <w:spacing w:after="0"/>
        <w:ind w:left="1800" w:right="27"/>
        <w:jc w:val="both"/>
        <w:rPr>
          <w:rFonts w:ascii="Times New Roman" w:hAnsi="Times New Roman" w:cs="Times New Roman"/>
          <w:sz w:val="24"/>
          <w:szCs w:val="24"/>
        </w:rPr>
      </w:pPr>
    </w:p>
    <w:p w:rsidR="0040789C" w:rsidRDefault="0040789C" w:rsidP="00EF6067">
      <w:pPr>
        <w:pStyle w:val="ListParagraph"/>
        <w:numPr>
          <w:ilvl w:val="1"/>
          <w:numId w:val="1"/>
        </w:numPr>
        <w:spacing w:after="0"/>
        <w:ind w:right="27"/>
        <w:jc w:val="both"/>
        <w:rPr>
          <w:rFonts w:ascii="Times New Roman" w:hAnsi="Times New Roman" w:cs="Times New Roman"/>
          <w:sz w:val="24"/>
          <w:szCs w:val="24"/>
        </w:rPr>
      </w:pPr>
      <w:r w:rsidRPr="00600013">
        <w:rPr>
          <w:rFonts w:ascii="Times New Roman" w:hAnsi="Times New Roman" w:cs="Times New Roman"/>
          <w:b/>
          <w:bCs/>
          <w:sz w:val="24"/>
          <w:szCs w:val="24"/>
        </w:rPr>
        <w:t>Licensing system</w:t>
      </w:r>
      <w:r>
        <w:rPr>
          <w:rFonts w:ascii="Times New Roman" w:hAnsi="Times New Roman" w:cs="Times New Roman"/>
          <w:sz w:val="24"/>
          <w:szCs w:val="24"/>
        </w:rPr>
        <w:t xml:space="preserve"> (competition system)</w:t>
      </w:r>
    </w:p>
    <w:p w:rsidR="0040789C" w:rsidRDefault="0040789C" w:rsidP="00EF6067">
      <w:pPr>
        <w:pStyle w:val="ListParagraph"/>
        <w:spacing w:after="0"/>
        <w:ind w:left="1800" w:right="27"/>
        <w:jc w:val="both"/>
        <w:rPr>
          <w:rFonts w:ascii="Times New Roman" w:hAnsi="Times New Roman" w:cs="Times New Roman"/>
          <w:sz w:val="24"/>
          <w:szCs w:val="24"/>
        </w:rPr>
      </w:pPr>
      <w:r>
        <w:rPr>
          <w:rFonts w:ascii="Times New Roman" w:hAnsi="Times New Roman" w:cs="Times New Roman"/>
          <w:sz w:val="24"/>
          <w:szCs w:val="24"/>
        </w:rPr>
        <w:t xml:space="preserve">In the licensing system, there is more competition and service provided, which moves the demand from </w:t>
      </w:r>
      <w:proofErr w:type="spellStart"/>
      <w:r>
        <w:rPr>
          <w:rFonts w:ascii="Times New Roman" w:hAnsi="Times New Roman" w:cs="Times New Roman"/>
          <w:sz w:val="24"/>
          <w:szCs w:val="24"/>
        </w:rPr>
        <w:t>R</w:t>
      </w:r>
      <w:r w:rsidRPr="0040789C">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to R</w:t>
      </w:r>
      <w:r w:rsidRPr="0040789C">
        <w:rPr>
          <w:rFonts w:ascii="Times New Roman" w:hAnsi="Times New Roman" w:cs="Times New Roman"/>
          <w:sz w:val="24"/>
          <w:szCs w:val="24"/>
          <w:vertAlign w:val="subscript"/>
        </w:rPr>
        <w:t>o</w:t>
      </w:r>
      <w:r>
        <w:rPr>
          <w:rFonts w:ascii="Times New Roman" w:hAnsi="Times New Roman" w:cs="Times New Roman"/>
          <w:sz w:val="24"/>
          <w:szCs w:val="24"/>
        </w:rPr>
        <w:t xml:space="preserve">. The increased demand (MR) moves from </w:t>
      </w:r>
      <w:proofErr w:type="spellStart"/>
      <w:r>
        <w:rPr>
          <w:rFonts w:ascii="Times New Roman" w:hAnsi="Times New Roman" w:cs="Times New Roman"/>
          <w:sz w:val="24"/>
          <w:szCs w:val="24"/>
        </w:rPr>
        <w:t>MR</w:t>
      </w:r>
      <w:r w:rsidRPr="0040789C">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MR</w:t>
      </w:r>
      <w:r w:rsidRPr="0040789C">
        <w:rPr>
          <w:rFonts w:ascii="Times New Roman" w:hAnsi="Times New Roman" w:cs="Times New Roman"/>
          <w:sz w:val="24"/>
          <w:szCs w:val="24"/>
          <w:vertAlign w:val="subscript"/>
        </w:rPr>
        <w:t>o</w:t>
      </w:r>
      <w:proofErr w:type="spellEnd"/>
      <w:r>
        <w:rPr>
          <w:rFonts w:ascii="Times New Roman" w:hAnsi="Times New Roman" w:cs="Times New Roman"/>
          <w:sz w:val="24"/>
          <w:szCs w:val="24"/>
        </w:rPr>
        <w:t>. As a result, price is set at P</w:t>
      </w:r>
      <w:r w:rsidRPr="0040789C">
        <w:rPr>
          <w:rFonts w:ascii="Times New Roman" w:hAnsi="Times New Roman" w:cs="Times New Roman"/>
          <w:sz w:val="24"/>
          <w:szCs w:val="24"/>
          <w:vertAlign w:val="subscript"/>
        </w:rPr>
        <w:t>o</w:t>
      </w:r>
      <w:r>
        <w:rPr>
          <w:rFonts w:ascii="Times New Roman" w:hAnsi="Times New Roman" w:cs="Times New Roman"/>
          <w:sz w:val="24"/>
          <w:szCs w:val="24"/>
        </w:rPr>
        <w:t xml:space="preserve"> which is closer to P</w:t>
      </w:r>
      <w:r w:rsidRPr="0040789C">
        <w:rPr>
          <w:rFonts w:ascii="Times New Roman" w:hAnsi="Times New Roman" w:cs="Times New Roman"/>
          <w:sz w:val="24"/>
          <w:szCs w:val="24"/>
          <w:vertAlign w:val="subscript"/>
        </w:rPr>
        <w:t>p</w:t>
      </w:r>
      <w:r>
        <w:rPr>
          <w:rFonts w:ascii="Times New Roman" w:hAnsi="Times New Roman" w:cs="Times New Roman"/>
          <w:sz w:val="24"/>
          <w:szCs w:val="24"/>
        </w:rPr>
        <w:t xml:space="preserve"> and the amount of service provided (</w:t>
      </w:r>
      <w:proofErr w:type="spellStart"/>
      <w:r>
        <w:rPr>
          <w:rFonts w:ascii="Times New Roman" w:hAnsi="Times New Roman" w:cs="Times New Roman"/>
          <w:sz w:val="24"/>
          <w:szCs w:val="24"/>
        </w:rPr>
        <w:t>Q</w:t>
      </w:r>
      <w:r w:rsidRPr="0040789C">
        <w:rPr>
          <w:rFonts w:ascii="Times New Roman" w:hAnsi="Times New Roman" w:cs="Times New Roman"/>
          <w:sz w:val="24"/>
          <w:szCs w:val="24"/>
          <w:vertAlign w:val="subscript"/>
        </w:rPr>
        <w:t>o</w:t>
      </w:r>
      <w:proofErr w:type="spellEnd"/>
      <w:r>
        <w:rPr>
          <w:rFonts w:ascii="Times New Roman" w:hAnsi="Times New Roman" w:cs="Times New Roman"/>
          <w:sz w:val="24"/>
          <w:szCs w:val="24"/>
        </w:rPr>
        <w:t>) is greater than that in the concession system and closer to that in the cost-based pricing system.</w:t>
      </w:r>
    </w:p>
    <w:p w:rsidR="00602B77" w:rsidRDefault="00602B77" w:rsidP="00EF6067">
      <w:pPr>
        <w:pStyle w:val="ListParagraph"/>
        <w:spacing w:after="0"/>
        <w:ind w:left="1800" w:right="27"/>
        <w:jc w:val="both"/>
        <w:rPr>
          <w:rFonts w:ascii="Times New Roman" w:hAnsi="Times New Roman" w:cs="Times New Roman"/>
          <w:sz w:val="24"/>
          <w:szCs w:val="24"/>
        </w:rPr>
      </w:pPr>
    </w:p>
    <w:p w:rsidR="0040789C" w:rsidRDefault="00602B77" w:rsidP="00EF6067">
      <w:pPr>
        <w:pStyle w:val="ListParagraph"/>
        <w:spacing w:after="0"/>
        <w:ind w:left="1080" w:right="27"/>
        <w:jc w:val="both"/>
        <w:rPr>
          <w:rFonts w:ascii="Times New Roman" w:hAnsi="Times New Roman" w:cs="Times New Roman"/>
          <w:sz w:val="24"/>
          <w:szCs w:val="24"/>
        </w:rPr>
      </w:pPr>
      <w:r>
        <w:rPr>
          <w:rFonts w:ascii="Times New Roman" w:hAnsi="Times New Roman" w:cs="Times New Roman"/>
          <w:sz w:val="24"/>
          <w:szCs w:val="24"/>
        </w:rPr>
        <w:t>Thus, it can be concluded that consumers and our country benefit more from lower price and more service provided in an open system (where there is competition), such as a licensing system, when compared with a closed system, such as a concession system. Our conclusion is still the same when analyzing using the General Equilibrium Model. This is the true opportunity cost of our country if we fail to auction off the spectrum.</w:t>
      </w:r>
    </w:p>
    <w:p w:rsidR="00602B77" w:rsidRDefault="00602B77" w:rsidP="00EF6067">
      <w:pPr>
        <w:pStyle w:val="ListParagraph"/>
        <w:spacing w:after="0"/>
        <w:ind w:left="1080" w:right="27"/>
        <w:jc w:val="both"/>
        <w:rPr>
          <w:rFonts w:ascii="Times New Roman" w:hAnsi="Times New Roman" w:cs="Times New Roman"/>
          <w:sz w:val="24"/>
          <w:szCs w:val="24"/>
        </w:rPr>
      </w:pPr>
    </w:p>
    <w:p w:rsidR="0040789C" w:rsidRPr="00A1609B" w:rsidRDefault="0047416F" w:rsidP="00EF6067">
      <w:pPr>
        <w:pStyle w:val="ListParagraph"/>
        <w:numPr>
          <w:ilvl w:val="0"/>
          <w:numId w:val="1"/>
        </w:numPr>
        <w:spacing w:after="0"/>
        <w:ind w:right="27"/>
        <w:jc w:val="both"/>
        <w:rPr>
          <w:rFonts w:ascii="Times New Roman" w:hAnsi="Times New Roman" w:cs="Times New Roman"/>
          <w:b/>
          <w:bCs/>
          <w:sz w:val="24"/>
          <w:szCs w:val="24"/>
        </w:rPr>
      </w:pPr>
      <w:r w:rsidRPr="00A1609B">
        <w:rPr>
          <w:rFonts w:ascii="Times New Roman" w:hAnsi="Times New Roman" w:cs="Times New Roman"/>
          <w:b/>
          <w:bCs/>
          <w:sz w:val="24"/>
          <w:szCs w:val="24"/>
        </w:rPr>
        <w:t>Regarding consumer protection, it is generally accepted th</w:t>
      </w:r>
      <w:r w:rsidR="004F237B" w:rsidRPr="00A1609B">
        <w:rPr>
          <w:rFonts w:ascii="Times New Roman" w:hAnsi="Times New Roman" w:cs="Times New Roman"/>
          <w:b/>
          <w:bCs/>
          <w:sz w:val="24"/>
          <w:szCs w:val="24"/>
        </w:rPr>
        <w:t xml:space="preserve">at </w:t>
      </w:r>
      <w:r w:rsidR="00222772" w:rsidRPr="00A1609B">
        <w:rPr>
          <w:rFonts w:ascii="Times New Roman" w:hAnsi="Times New Roman" w:cs="Times New Roman"/>
          <w:b/>
          <w:bCs/>
          <w:sz w:val="24"/>
          <w:szCs w:val="24"/>
        </w:rPr>
        <w:t xml:space="preserve">consumers’ </w:t>
      </w:r>
      <w:r w:rsidR="004F237B" w:rsidRPr="00A1609B">
        <w:rPr>
          <w:rFonts w:ascii="Times New Roman" w:hAnsi="Times New Roman" w:cs="Times New Roman"/>
          <w:b/>
          <w:bCs/>
          <w:sz w:val="24"/>
          <w:szCs w:val="24"/>
        </w:rPr>
        <w:t xml:space="preserve">inconvenience or inability to access telecommunications service is damaging </w:t>
      </w:r>
      <w:r w:rsidR="004F237B" w:rsidRPr="00A1609B">
        <w:rPr>
          <w:rFonts w:ascii="Times New Roman" w:hAnsi="Times New Roman" w:cs="Times New Roman"/>
          <w:b/>
          <w:bCs/>
          <w:sz w:val="24"/>
          <w:szCs w:val="24"/>
        </w:rPr>
        <w:lastRenderedPageBreak/>
        <w:t xml:space="preserve">to the country and the economy. This is the opportunity cost of the transitional period. But </w:t>
      </w:r>
      <w:r w:rsidR="003B4D97" w:rsidRPr="00A1609B">
        <w:rPr>
          <w:rFonts w:ascii="Times New Roman" w:hAnsi="Times New Roman" w:cs="Times New Roman"/>
          <w:b/>
          <w:bCs/>
          <w:sz w:val="24"/>
          <w:szCs w:val="24"/>
        </w:rPr>
        <w:t xml:space="preserve">consumer protection is more important. In other words, consumer protection is valued at </w:t>
      </w:r>
      <w:r w:rsidR="003B4D97" w:rsidRPr="00A1609B">
        <w:rPr>
          <w:rFonts w:ascii="Times New Roman" w:hAnsi="Times New Roman" w:cs="Times New Roman"/>
          <w:b/>
          <w:bCs/>
          <w:sz w:val="24"/>
          <w:szCs w:val="24"/>
        </w:rPr>
        <w:sym w:font="Symbol" w:char="F0A5"/>
      </w:r>
      <w:r w:rsidR="003B4D97" w:rsidRPr="00A1609B">
        <w:rPr>
          <w:rFonts w:ascii="Times New Roman" w:hAnsi="Times New Roman" w:cs="Times New Roman"/>
          <w:b/>
          <w:bCs/>
          <w:sz w:val="24"/>
          <w:szCs w:val="24"/>
        </w:rPr>
        <w:t xml:space="preserve"> which means we absolutely </w:t>
      </w:r>
      <w:r w:rsidR="00F41530" w:rsidRPr="00A1609B">
        <w:rPr>
          <w:rFonts w:ascii="Times New Roman" w:hAnsi="Times New Roman" w:cs="Times New Roman"/>
          <w:b/>
          <w:bCs/>
          <w:sz w:val="24"/>
          <w:szCs w:val="24"/>
        </w:rPr>
        <w:t>must perform.</w:t>
      </w:r>
    </w:p>
    <w:p w:rsidR="00F41530" w:rsidRPr="00A1609B" w:rsidRDefault="00F41530" w:rsidP="00EF6067">
      <w:pPr>
        <w:pStyle w:val="ListParagraph"/>
        <w:spacing w:after="0"/>
        <w:ind w:left="1080" w:right="27"/>
        <w:jc w:val="both"/>
        <w:rPr>
          <w:rFonts w:ascii="Times New Roman" w:hAnsi="Times New Roman" w:cs="Times New Roman"/>
          <w:b/>
          <w:bCs/>
          <w:sz w:val="24"/>
          <w:szCs w:val="24"/>
        </w:rPr>
      </w:pPr>
    </w:p>
    <w:p w:rsidR="00F41530" w:rsidRPr="00A1609B" w:rsidRDefault="00F41530" w:rsidP="00EF6067">
      <w:pPr>
        <w:pStyle w:val="ListParagraph"/>
        <w:numPr>
          <w:ilvl w:val="0"/>
          <w:numId w:val="1"/>
        </w:numPr>
        <w:spacing w:after="0"/>
        <w:ind w:right="27"/>
        <w:jc w:val="both"/>
        <w:rPr>
          <w:rFonts w:ascii="Times New Roman" w:hAnsi="Times New Roman" w:cs="Times New Roman"/>
          <w:b/>
          <w:bCs/>
          <w:sz w:val="24"/>
          <w:szCs w:val="24"/>
        </w:rPr>
      </w:pPr>
      <w:r w:rsidRPr="00A1609B">
        <w:rPr>
          <w:rFonts w:ascii="Times New Roman" w:hAnsi="Times New Roman" w:cs="Times New Roman"/>
          <w:b/>
          <w:bCs/>
          <w:sz w:val="24"/>
          <w:szCs w:val="24"/>
        </w:rPr>
        <w:t>Conclusion</w:t>
      </w:r>
    </w:p>
    <w:p w:rsidR="00F41530" w:rsidRPr="00A1609B" w:rsidRDefault="00F41530" w:rsidP="00EF6067">
      <w:pPr>
        <w:spacing w:after="0"/>
        <w:ind w:left="1080" w:right="27"/>
        <w:jc w:val="both"/>
        <w:rPr>
          <w:rFonts w:ascii="Times New Roman" w:hAnsi="Times New Roman" w:cs="Times New Roman"/>
          <w:b/>
          <w:bCs/>
          <w:sz w:val="24"/>
          <w:szCs w:val="24"/>
        </w:rPr>
      </w:pPr>
      <w:r w:rsidRPr="00A1609B">
        <w:rPr>
          <w:rFonts w:ascii="Times New Roman" w:hAnsi="Times New Roman" w:cs="Times New Roman"/>
          <w:b/>
          <w:bCs/>
          <w:sz w:val="24"/>
          <w:szCs w:val="24"/>
        </w:rPr>
        <w:t>The estimation of the opportunity cost in one situation cannot be equated with that of another. More importantly, the situations mentioned have not arisen, so how can there be opportunity cost?</w:t>
      </w:r>
    </w:p>
    <w:p w:rsidR="0040789C" w:rsidRDefault="0040789C" w:rsidP="00EF6067">
      <w:pPr>
        <w:spacing w:after="0"/>
        <w:ind w:left="1800" w:right="27"/>
        <w:jc w:val="both"/>
        <w:rPr>
          <w:rFonts w:ascii="Times New Roman" w:hAnsi="Times New Roman" w:hint="cs"/>
          <w:sz w:val="24"/>
          <w:szCs w:val="24"/>
        </w:rPr>
      </w:pPr>
    </w:p>
    <w:p w:rsidR="00DA343D" w:rsidRPr="00DA343D" w:rsidRDefault="00DA343D" w:rsidP="00EF6067">
      <w:pPr>
        <w:spacing w:after="0"/>
        <w:ind w:left="1800" w:right="27"/>
        <w:jc w:val="both"/>
        <w:rPr>
          <w:rFonts w:ascii="Times New Roman" w:hAnsi="Times New Roman" w:hint="cs"/>
          <w:b/>
          <w:bCs/>
          <w:sz w:val="24"/>
          <w:szCs w:val="24"/>
        </w:rPr>
      </w:pPr>
      <w:r w:rsidRPr="00DA343D">
        <w:rPr>
          <w:rFonts w:ascii="Times New Roman" w:hAnsi="Times New Roman" w:hint="cs"/>
          <w:b/>
          <w:bCs/>
          <w:sz w:val="24"/>
          <w:szCs w:val="24"/>
          <w:cs/>
        </w:rPr>
        <w:t>.........................................................................................................................................</w:t>
      </w:r>
    </w:p>
    <w:p w:rsidR="0040789C" w:rsidRDefault="0040789C" w:rsidP="00EF6067">
      <w:pPr>
        <w:spacing w:after="0"/>
        <w:ind w:right="27"/>
        <w:jc w:val="both"/>
        <w:rPr>
          <w:rFonts w:ascii="Times New Roman" w:hAnsi="Times New Roman" w:cs="Times New Roman"/>
          <w:sz w:val="24"/>
          <w:szCs w:val="24"/>
        </w:rPr>
      </w:pPr>
      <w:r>
        <w:rPr>
          <w:rFonts w:ascii="Times New Roman" w:hAnsi="Times New Roman" w:cs="Times New Roman"/>
          <w:sz w:val="24"/>
          <w:szCs w:val="24"/>
        </w:rPr>
        <w:tab/>
      </w:r>
    </w:p>
    <w:p w:rsidR="0040789C" w:rsidRPr="00600013" w:rsidRDefault="0040789C" w:rsidP="00EF6067">
      <w:pPr>
        <w:spacing w:after="0"/>
        <w:ind w:left="1800" w:right="27"/>
        <w:jc w:val="both"/>
        <w:rPr>
          <w:rFonts w:ascii="Times New Roman" w:hAnsi="Times New Roman" w:cs="Times New Roman"/>
          <w:sz w:val="24"/>
          <w:szCs w:val="24"/>
        </w:rPr>
      </w:pPr>
    </w:p>
    <w:sectPr w:rsidR="0040789C" w:rsidRPr="00600013" w:rsidSect="0024549E">
      <w:footerReference w:type="default" r:id="rId7"/>
      <w:pgSz w:w="11907" w:h="1684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A05" w:rsidRDefault="006D6A05" w:rsidP="0024549E">
      <w:pPr>
        <w:spacing w:after="0" w:line="240" w:lineRule="auto"/>
      </w:pPr>
      <w:r>
        <w:separator/>
      </w:r>
    </w:p>
  </w:endnote>
  <w:endnote w:type="continuationSeparator" w:id="0">
    <w:p w:rsidR="006D6A05" w:rsidRDefault="006D6A05" w:rsidP="00245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8045"/>
      <w:docPartObj>
        <w:docPartGallery w:val="Page Numbers (Bottom of Page)"/>
        <w:docPartUnique/>
      </w:docPartObj>
    </w:sdtPr>
    <w:sdtEndPr>
      <w:rPr>
        <w:rFonts w:ascii="Times New Roman" w:hAnsi="Times New Roman" w:cs="Times New Roman"/>
        <w:sz w:val="24"/>
        <w:szCs w:val="24"/>
      </w:rPr>
    </w:sdtEndPr>
    <w:sdtContent>
      <w:p w:rsidR="0024549E" w:rsidRPr="0024549E" w:rsidRDefault="00C83DEB">
        <w:pPr>
          <w:pStyle w:val="Footer"/>
          <w:jc w:val="right"/>
          <w:rPr>
            <w:rFonts w:ascii="Times New Roman" w:hAnsi="Times New Roman" w:cs="Times New Roman"/>
            <w:sz w:val="24"/>
            <w:szCs w:val="24"/>
          </w:rPr>
        </w:pPr>
        <w:r w:rsidRPr="0024549E">
          <w:rPr>
            <w:rFonts w:ascii="Times New Roman" w:hAnsi="Times New Roman" w:cs="Times New Roman"/>
            <w:sz w:val="24"/>
            <w:szCs w:val="24"/>
          </w:rPr>
          <w:fldChar w:fldCharType="begin"/>
        </w:r>
        <w:r w:rsidR="0024549E" w:rsidRPr="0024549E">
          <w:rPr>
            <w:rFonts w:ascii="Times New Roman" w:hAnsi="Times New Roman" w:cs="Times New Roman"/>
            <w:sz w:val="24"/>
            <w:szCs w:val="24"/>
          </w:rPr>
          <w:instrText xml:space="preserve"> PAGE   \* MERGEFORMAT </w:instrText>
        </w:r>
        <w:r w:rsidRPr="0024549E">
          <w:rPr>
            <w:rFonts w:ascii="Times New Roman" w:hAnsi="Times New Roman" w:cs="Times New Roman"/>
            <w:sz w:val="24"/>
            <w:szCs w:val="24"/>
          </w:rPr>
          <w:fldChar w:fldCharType="separate"/>
        </w:r>
        <w:r w:rsidR="00DA343D">
          <w:rPr>
            <w:rFonts w:ascii="Times New Roman" w:hAnsi="Times New Roman" w:cs="Times New Roman"/>
            <w:noProof/>
            <w:sz w:val="24"/>
            <w:szCs w:val="24"/>
          </w:rPr>
          <w:t>3</w:t>
        </w:r>
        <w:r w:rsidRPr="0024549E">
          <w:rPr>
            <w:rFonts w:ascii="Times New Roman" w:hAnsi="Times New Roman" w:cs="Times New Roman"/>
            <w:sz w:val="24"/>
            <w:szCs w:val="24"/>
          </w:rPr>
          <w:fldChar w:fldCharType="end"/>
        </w:r>
      </w:p>
    </w:sdtContent>
  </w:sdt>
  <w:p w:rsidR="0024549E" w:rsidRDefault="00245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A05" w:rsidRDefault="006D6A05" w:rsidP="0024549E">
      <w:pPr>
        <w:spacing w:after="0" w:line="240" w:lineRule="auto"/>
      </w:pPr>
      <w:r>
        <w:separator/>
      </w:r>
    </w:p>
  </w:footnote>
  <w:footnote w:type="continuationSeparator" w:id="0">
    <w:p w:rsidR="006D6A05" w:rsidRDefault="006D6A05" w:rsidP="002454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86AED"/>
    <w:multiLevelType w:val="hybridMultilevel"/>
    <w:tmpl w:val="278CAD9A"/>
    <w:lvl w:ilvl="0" w:tplc="748A5E76">
      <w:start w:val="1"/>
      <w:numFmt w:val="decimal"/>
      <w:lvlText w:val="%1."/>
      <w:lvlJc w:val="left"/>
      <w:pPr>
        <w:ind w:left="1080" w:hanging="360"/>
      </w:pPr>
      <w:rPr>
        <w:rFonts w:hint="default"/>
      </w:rPr>
    </w:lvl>
    <w:lvl w:ilvl="1" w:tplc="79088678">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
  <w:rsids>
    <w:rsidRoot w:val="006D7339"/>
    <w:rsid w:val="00055A11"/>
    <w:rsid w:val="00080128"/>
    <w:rsid w:val="00094F4D"/>
    <w:rsid w:val="000E598B"/>
    <w:rsid w:val="001A3082"/>
    <w:rsid w:val="00212E53"/>
    <w:rsid w:val="00222772"/>
    <w:rsid w:val="0024549E"/>
    <w:rsid w:val="00275C33"/>
    <w:rsid w:val="002936B1"/>
    <w:rsid w:val="00323F1E"/>
    <w:rsid w:val="003B4D97"/>
    <w:rsid w:val="0040789C"/>
    <w:rsid w:val="004265E8"/>
    <w:rsid w:val="00466D24"/>
    <w:rsid w:val="0047416F"/>
    <w:rsid w:val="004F237B"/>
    <w:rsid w:val="005904EB"/>
    <w:rsid w:val="00600013"/>
    <w:rsid w:val="00602B77"/>
    <w:rsid w:val="006117DA"/>
    <w:rsid w:val="006761EB"/>
    <w:rsid w:val="006939C2"/>
    <w:rsid w:val="006D6A05"/>
    <w:rsid w:val="006D7339"/>
    <w:rsid w:val="00824B56"/>
    <w:rsid w:val="00987A7B"/>
    <w:rsid w:val="00A1609B"/>
    <w:rsid w:val="00A2702C"/>
    <w:rsid w:val="00A4193F"/>
    <w:rsid w:val="00B07D93"/>
    <w:rsid w:val="00C2152C"/>
    <w:rsid w:val="00C83DEB"/>
    <w:rsid w:val="00CC2974"/>
    <w:rsid w:val="00D66E83"/>
    <w:rsid w:val="00DA343D"/>
    <w:rsid w:val="00DC06C8"/>
    <w:rsid w:val="00EF4CC3"/>
    <w:rsid w:val="00EF6067"/>
    <w:rsid w:val="00F203F1"/>
    <w:rsid w:val="00F41530"/>
    <w:rsid w:val="00F84859"/>
    <w:rsid w:val="00F86EE4"/>
    <w:rsid w:val="00FA48A4"/>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C33"/>
    <w:pPr>
      <w:ind w:left="720"/>
      <w:contextualSpacing/>
    </w:pPr>
  </w:style>
  <w:style w:type="paragraph" w:styleId="Header">
    <w:name w:val="header"/>
    <w:basedOn w:val="Normal"/>
    <w:link w:val="HeaderChar"/>
    <w:uiPriority w:val="99"/>
    <w:semiHidden/>
    <w:unhideWhenUsed/>
    <w:rsid w:val="002454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549E"/>
  </w:style>
  <w:style w:type="paragraph" w:styleId="Footer">
    <w:name w:val="footer"/>
    <w:basedOn w:val="Normal"/>
    <w:link w:val="FooterChar"/>
    <w:uiPriority w:val="99"/>
    <w:unhideWhenUsed/>
    <w:rsid w:val="00245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9E"/>
  </w:style>
  <w:style w:type="paragraph" w:styleId="BalloonText">
    <w:name w:val="Balloon Text"/>
    <w:basedOn w:val="Normal"/>
    <w:link w:val="BalloonTextChar"/>
    <w:uiPriority w:val="99"/>
    <w:semiHidden/>
    <w:unhideWhenUsed/>
    <w:rsid w:val="00D66E8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66E83"/>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marisa.t</dc:creator>
  <cp:lastModifiedBy>thanasan.s</cp:lastModifiedBy>
  <cp:revision>2</cp:revision>
  <cp:lastPrinted>2014-02-28T03:20:00Z</cp:lastPrinted>
  <dcterms:created xsi:type="dcterms:W3CDTF">2014-02-28T03:33:00Z</dcterms:created>
  <dcterms:modified xsi:type="dcterms:W3CDTF">2014-02-28T03:33:00Z</dcterms:modified>
</cp:coreProperties>
</file>